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(Employee of Local Social Services District)</w:t>
        <w:br/>
      </w:r>
      <w:r>
        <w:rPr>
          <w:rFonts w:ascii="Arial" w:hAnsi="Arial" w:eastAsia="Arial"/>
          <w:b w:val="true"/>
          <w:color w:val="000000"/>
          <w:spacing w:val="0"/>
          <w:w w:val="100"/>
          <w:sz w:val="28"/>
          <w:vertAlign w:val="baseline"/>
          <w:lang w:val="en-US"/>
        </w:rPr>
        <w:t xml:space="preserve">PENAL LAW 120.05 (11-a)</w:t>
        <w:br/>
      </w:r>
      <w:r>
        <w:rPr>
          <w:rFonts w:ascii="Arial" w:hAnsi="Arial" w:eastAsia="Arial"/>
          <w:b w:val="true"/>
          <w:color w:val="000000"/>
          <w:spacing w:val="0"/>
          <w:w w:val="100"/>
          <w:sz w:val="28"/>
          <w:vertAlign w:val="baseline"/>
          <w:lang w:val="en-US"/>
        </w:rPr>
        <w:t xml:space="preserve">(Committed on or after Nov. 1, 2012)</w:t>
      </w:r>
    </w:p>
    <w:p>
      <w:pPr>
        <w:pageBreakBefore w:val="false"/>
        <w:spacing w:before="323"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26" w:after="0" w:line="31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w:t>
      </w:r>
    </w:p>
    <w:p>
      <w:pPr>
        <w:pageBreakBefore w:val="false"/>
        <w:spacing w:before="329"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19" w:after="0" w:line="322"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 intent to cause physical injury to an employee of a local social services district directly involved in investigation of or response to alleged abuse or neglect of a child, vulnerable elderly person or an incompetent or physically disabled person, the actor, not being such child, vulnerable elderly person or incompetent or physically disabled person, [or]</w:t>
      </w:r>
    </w:p>
    <w:p>
      <w:pPr>
        <w:pageBreakBefore w:val="false"/>
        <w:spacing w:before="321" w:after="0" w:line="322"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with intent to prevent an employee of a local social services district directly involved in providing public assistance and care from performing his or her job, he or she</w:t>
      </w:r>
    </w:p>
    <w:p>
      <w:pPr>
        <w:pageBreakBefore w:val="false"/>
        <w:spacing w:before="324"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causes physical injury to such employee.</w:t>
      </w:r>
    </w:p>
    <w:p>
      <w:pPr>
        <w:pageBreakBefore w:val="false"/>
        <w:spacing w:before="31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4" w:after="727"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cause physical injury to an employee of a local social services district [or to prevent an employee of a local social services district from performing his or her job] when that person's conscious objective or purpose is to do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94" w:after="0" w:line="273" w:lineRule="exact"/>
        <w:ind w:right="0" w:left="720" w:firstLine="0"/>
        <w:jc w:val="left"/>
        <w:textAlignment w:val="baseline"/>
        <w:rPr>
          <w:rFonts w:ascii="Arial" w:hAnsi="Arial" w:eastAsia="Arial"/>
          <w:color w:val="000000"/>
          <w:spacing w:val="-3"/>
          <w:w w:val="100"/>
          <w:sz w:val="14"/>
          <w:vertAlign w:val="superscript"/>
          <w:lang w:val="en-US"/>
        </w:rPr>
      </w:pPr>
      <w:r>
        <w:pict>
          <v:line strokeweight="0.7pt" strokecolor="#000000" from="108pt,688.3pt" to="252.05pt,688.3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Penal Law § 10.00 (9);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p>
    <w:p>
      <w:pPr>
        <w:pageBreakBefore w:val="false"/>
        <w:spacing w:before="2" w:after="0" w:line="273"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319" w:after="0" w:line="322"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This statute defines two alternative theories of liability for causing physical injury to an employee of a local social services district. Each theory is distinguished by the type of work the employee is engaged in at the time the physical injury is caused and the corresponding culpable mental state. The following list of elements includes both theories in two sets of three elements for each theory of liability. If both theories of liability apply, then both sets of elements are presented to the jury in the alternative; otherwise only the one set of the applicable elements is presented to the jury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312"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an employee of a local social services district directly involved in investigation of or response to alleged abuse or neglect of a child, vulnerable elderly person or an incompetent or physically disabled person;</w:t>
      </w:r>
    </w:p>
    <w:p>
      <w:pPr>
        <w:pageBreakBefore w:val="false"/>
        <w:numPr>
          <w:ilvl w:val="0"/>
          <w:numId w:val="1"/>
        </w:numPr>
        <w:tabs>
          <w:tab w:val="clear" w:pos="720"/>
          <w:tab w:val="left" w:pos="1440"/>
        </w:tabs>
        <w:spacing w:before="329"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not being such child, vulnerable elderly person or incompetent or physically disabled person,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7"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cause physical injury to that person.</w:t>
      </w:r>
    </w:p>
    <w:p>
      <w:pPr>
        <w:pageBreakBefore w:val="false"/>
        <w:spacing w:before="325" w:after="0" w:line="318" w:lineRule="exact"/>
        <w:ind w:right="0" w:left="720" w:firstLine="0"/>
        <w:jc w:val="left"/>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[or]</w:t>
      </w:r>
    </w:p>
    <w:p>
      <w:pPr>
        <w:pageBreakBefore w:val="false"/>
        <w:tabs>
          <w:tab w:val="left" w:leader="none" w:pos="1368"/>
        </w:tabs>
        <w:spacing w:before="320" w:after="912"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an employee of a local social services district directly involved in providing public assistance and care;</w:t>
      </w:r>
    </w:p>
    <w:p>
      <w:pPr>
        <w:spacing w:before="320" w:after="912" w:line="322" w:lineRule="exact"/>
        <w:sectPr>
          <w:type w:val="nextPage"/>
          <w:pgSz w:w="12240" w:h="15840" w:orient="portrait"/>
          <w:pgMar w:bottom="664" w:top="1080" w:right="2112" w:left="2170"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continuous"/>
          <w:pgSz w:w="12240" w:h="15840" w:orient="portrait"/>
          <w:pgMar w:bottom="664" w:top="1080" w:right="2152" w:left="2148" w:header="720" w:footer="720"/>
          <w:titlePg w:val="false"/>
          <w:textDirection w:val="lrTb"/>
        </w:sectPr>
      </w:pPr>
    </w:p>
    <w:p>
      <w:pPr>
        <w:pageBreakBefore w:val="false"/>
        <w:numPr>
          <w:ilvl w:val="0"/>
          <w:numId w:val="2"/>
        </w:numPr>
        <w:tabs>
          <w:tab w:val="clear" w:pos="720"/>
          <w:tab w:val="left" w:pos="1440"/>
        </w:tabs>
        <w:spacing w:before="5"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numPr>
          <w:ilvl w:val="0"/>
          <w:numId w:val="2"/>
        </w:numPr>
        <w:tabs>
          <w:tab w:val="clear" w:pos="720"/>
          <w:tab w:val="left" w:pos="1440"/>
        </w:tabs>
        <w:spacing w:before="310"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prevent that person from performing his or her job.</w:t>
      </w:r>
    </w:p>
    <w:p>
      <w:pPr>
        <w:pageBreakBefore w:val="false"/>
        <w:spacing w:before="32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8937"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8937" w:line="321" w:lineRule="exact"/>
        <w:sectPr>
          <w:type w:val="nextPage"/>
          <w:pgSz w:w="12240" w:h="15840" w:orient="portrait"/>
          <w:pgMar w:bottom="664" w:top="1080" w:right="2117" w:left="215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66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