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4" w:after="0" w:line="316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ASSAULT IN THE SECOND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(Reckless; Serious Physical Injury; Weapon)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120.05(4)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1986)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6"/>
          <w:vertAlign w:val="baseline"/>
          <w:lang w:val="en-US"/>
        </w:rPr>
        <w:t xml:space="preserve">Revised April, 2018 </w:t>
      </w:r>
      <w:r>
        <w:rPr>
          <w:rFonts w:ascii="Arial" w:hAnsi="Arial" w:eastAsia="Arial"/>
          <w:b w:val="true"/>
          <w:color w:val="000000"/>
          <w:spacing w:val="0"/>
          <w:w w:val="100"/>
          <w:sz w:val="26"/>
          <w:vertAlign w:val="superscript"/>
          <w:lang w:val="en-US"/>
        </w:rPr>
        <w:t xml:space="preserve">1</w:t>
      </w:r>
      <w:r>
        <w:rPr>
          <w:rFonts w:ascii="Arial" w:hAnsi="Arial" w:eastAsia="Arial"/>
          <w:b w:val="true"/>
          <w:color w:val="000000"/>
          <w:spacing w:val="0"/>
          <w:w w:val="100"/>
          <w:sz w:val="15"/>
          <w:vertAlign w:val="baseline"/>
          <w:lang w:val="en-US"/>
        </w:rPr>
        <w:t xml:space="preserve">
</w:t>
      </w:r>
    </w:p>
    <w:p>
      <w:pPr>
        <w:pageBreakBefore w:val="false"/>
        <w:spacing w:before="335" w:after="0" w:line="322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count is Assault in the Second Degree.</w:t>
      </w:r>
    </w:p>
    <w:p>
      <w:pPr>
        <w:pageBreakBefore w:val="false"/>
        <w:spacing w:before="321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Assault in the Second Degree when that person recklessly causes serious physical injury to another person by means of a deadly weapon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dangerous instrument].</w:t>
      </w:r>
    </w:p>
    <w:p>
      <w:pPr>
        <w:pageBreakBefore w:val="false"/>
        <w:spacing w:before="322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7" w:after="0" w:line="320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SERIOUS PHYSICAL INJURY means impairment of a person's physical condition which creates a substantial risk of death, or which causes death, or serious and protracted disfigurement, or protracted impairment of health or protracted loss or impairment of the function of any bodily organ.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6" w:after="642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acts RECKLESSLY with respect to serious physical injury by means of a deadly weapon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dangerous instrument] when that person:</w:t>
      </w:r>
    </w:p>
    <w:p>
      <w:pPr>
        <w:pageBreakBefore w:val="false"/>
        <w:spacing w:before="69" w:after="0" w:line="297" w:lineRule="exact"/>
        <w:ind w:right="0" w:left="648" w:hanging="360"/>
        <w:jc w:val="both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line strokeweight="0.5pt" strokecolor="#000000" from="108pt,487.9pt" to="252.05pt,487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color w:val="000000"/>
          <w:spacing w:val="0"/>
          <w:w w:val="100"/>
          <w:sz w:val="24"/>
          <w:vertAlign w:val="baseline"/>
          <w:lang w:val="en-US"/>
        </w:rPr>
        <w:t xml:space="preserve">1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This charge applies when the crime was committed on or after November 1, 1986 except as to the following weapons which were added to the definition of “deadly weapon” [Penal Law § 10.00(12)] after that date:</w:t>
      </w:r>
    </w:p>
    <w:p>
      <w:pPr>
        <w:pageBreakBefore w:val="false"/>
        <w:spacing w:before="289" w:after="0" w:line="297" w:lineRule="exact"/>
        <w:ind w:right="0" w:left="648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November 1, 1995, was the effective date of an amendment to the definition of "deadly weapon" to add a "metal knuckle knife." L. 1995, ch. 219.</w:t>
      </w:r>
    </w:p>
    <w:p>
      <w:pPr>
        <w:pageBreakBefore w:val="false"/>
        <w:spacing w:before="288" w:after="0" w:line="298" w:lineRule="exact"/>
        <w:ind w:right="0" w:left="648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November 1, 2008, was the effective date of an amendment also to that definition to add “plastic knuckles.” L. 2008, ch. 257.</w:t>
      </w:r>
    </w:p>
    <w:p>
      <w:pPr>
        <w:pageBreakBefore w:val="false"/>
        <w:spacing w:before="289" w:after="0" w:line="297" w:lineRule="exact"/>
        <w:ind w:right="0" w:left="648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The 2018 revision was to include the statutory additions to the definition of "deadly weapon" and the decisional law definitions of weapons as set forth in footnote 5.</w:t>
      </w:r>
    </w:p>
    <w:p>
      <w:pPr>
        <w:pageBreakBefore w:val="false"/>
        <w:tabs>
          <w:tab w:val="left" w:leader="none" w:pos="576"/>
        </w:tabs>
        <w:spacing w:before="298" w:after="0" w:line="257" w:lineRule="exact"/>
        <w:ind w:right="0" w:left="288" w:firstLine="0"/>
        <w:jc w:val="left"/>
        <w:textAlignment w:val="baseline"/>
        <w:rPr>
          <w:rFonts w:ascii="Calibri" w:hAnsi="Calibri" w:eastAsia="Calibri"/>
          <w:color w:val="000000"/>
          <w:spacing w:val="-3"/>
          <w:w w:val="100"/>
          <w:sz w:val="15"/>
          <w:vertAlign w:val="superscript"/>
          <w:lang w:val="en-US"/>
        </w:rPr>
      </w:pPr>
      <w:r>
        <w:rPr>
          <w:rFonts w:ascii="Calibri" w:hAnsi="Calibri" w:eastAsia="Calibri"/>
          <w:color w:val="000000"/>
          <w:spacing w:val="-3"/>
          <w:w w:val="100"/>
          <w:sz w:val="15"/>
          <w:vertAlign w:val="superscript"/>
          <w:lang w:val="en-US"/>
        </w:rPr>
        <w:t xml:space="preserve">2</w:t>
      </w:r>
      <w:r>
        <w:rPr>
          <w:rFonts w:ascii="Calibri" w:hAnsi="Calibri" w:eastAsia="Calibri"/>
          <w:color w:val="000000"/>
          <w:spacing w:val="-3"/>
          <w:w w:val="100"/>
          <w:sz w:val="25"/>
          <w:vertAlign w:val="baseline"/>
          <w:lang w:val="en-US"/>
        </w:rPr>
        <w:tab/>
      </w:r>
      <w:r>
        <w:rPr>
          <w:rFonts w:ascii="Calibri" w:hAnsi="Calibri" w:eastAsia="Calibri"/>
          <w:color w:val="000000"/>
          <w:spacing w:val="-3"/>
          <w:w w:val="100"/>
          <w:sz w:val="25"/>
          <w:vertAlign w:val="baseline"/>
          <w:lang w:val="en-US"/>
        </w:rPr>
        <w:t xml:space="preserve">Penal Law § 10.00(10).</w:t>
      </w:r>
    </w:p>
    <w:p>
      <w:pPr>
        <w:sectPr>
          <w:type w:val="nextPage"/>
          <w:pgSz w:w="12240" w:h="15840" w:orient="portrait"/>
          <w:pgMar w:bottom="584" w:top="1080" w:right="2120" w:left="2160" w:header="720" w:footer="720"/>
          <w:titlePg w:val="false"/>
          <w:textDirection w:val="lrTb"/>
        </w:sectPr>
      </w:pPr>
    </w:p>
    <w:p>
      <w:pPr>
        <w:pageBreakBefore w:val="false"/>
        <w:spacing w:before="4" w:after="0" w:line="323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engages in conduct which creates or contributes to a substantial and unjustifiable risk that serious physical injury to another person by means of a deadly weapon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dangerous instrument] will occur,</w:t>
      </w:r>
    </w:p>
    <w:p>
      <w:pPr>
        <w:pageBreakBefore w:val="false"/>
        <w:spacing w:before="321" w:after="0" w:line="322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and when he or she is aware of and consciously disregards that risk,</w:t>
      </w:r>
    </w:p>
    <w:p>
      <w:pPr>
        <w:pageBreakBefore w:val="false"/>
        <w:spacing w:before="318" w:after="0" w:line="321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and when that risk is of such nature and degree that disregard of it constitutes a gross deviation from the standard of conduct that a reasonable person would observe in the situation.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3" w:after="0" w:line="317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NOTE: Where there is evidence of voluntary intoxication on the part of the defendant, add:</w:t>
      </w:r>
    </w:p>
    <w:p>
      <w:pPr>
        <w:pageBreakBefore w:val="false"/>
        <w:spacing w:before="5" w:after="0" w:line="320" w:lineRule="exact"/>
        <w:ind w:right="0" w:left="72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also acts recklessly when he or she creates such a risk but is unaware of that risk solely by reason of his or her voluntary intoxication.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1" w:after="0" w:line="644" w:lineRule="exact"/>
        <w:ind w:right="0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DEADLY WEAPON means:</w:t>
        <w:br/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Select appropriate alternative:</w:t>
      </w:r>
    </w:p>
    <w:p>
      <w:pPr>
        <w:pageBreakBefore w:val="false"/>
        <w:spacing w:before="325" w:after="0" w:line="319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any loaded weapon from which a shot, readily capable of producing death or other serious physical injury, may be discharged.</w:t>
      </w:r>
    </w:p>
    <w:p>
      <w:pPr>
        <w:pageBreakBefore w:val="false"/>
        <w:spacing w:before="321" w:after="0" w:line="322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switchblade knife, defined as any knife having a blade which opens automatically by hand pressure applied to a button, spring or other device in the handle of the knife.</w:t>
      </w:r>
    </w:p>
    <w:p>
      <w:pPr>
        <w:pageBreakBefore w:val="false"/>
        <w:spacing w:before="328" w:after="0" w:line="321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3"/>
          <w:w w:val="100"/>
          <w:sz w:val="28"/>
          <w:vertAlign w:val="baseline"/>
          <w:lang w:val="en-US"/>
        </w:rPr>
        <w:t xml:space="preserve">a pilum ballistic knife, defined as any knife having a blade which can be projected from the handle by hand pressure applied to a button, lever, spring or other device in the handle of the knife.</w:t>
      </w:r>
    </w:p>
    <w:p>
      <w:pPr>
        <w:pageBreakBefore w:val="false"/>
        <w:spacing w:before="324" w:after="202" w:line="321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metal knuckle knife, defined as a weapon that, when closed, cannot function as a set of plastic knuckles or metal knuckles, nor as a knife and when open, can function as both a set of plastic knuckles or metal knuckles as well as a knife.</w:t>
      </w:r>
    </w:p>
    <w:p>
      <w:pPr>
        <w:pageBreakBefore w:val="false"/>
        <w:tabs>
          <w:tab w:val="left" w:leader="none" w:pos="576"/>
        </w:tabs>
        <w:spacing w:before="100" w:after="0" w:line="251" w:lineRule="exact"/>
        <w:ind w:right="0" w:left="216" w:firstLine="0"/>
        <w:jc w:val="left"/>
        <w:textAlignment w:val="baseline"/>
        <w:rPr>
          <w:rFonts w:ascii="Calibri" w:hAnsi="Calibri" w:eastAsia="Calibri"/>
          <w:b w:val="true"/>
          <w:color w:val="000000"/>
          <w:spacing w:val="-1"/>
          <w:w w:val="100"/>
          <w:sz w:val="15"/>
          <w:vertAlign w:val="superscript"/>
          <w:lang w:val="en-US"/>
        </w:rPr>
      </w:pPr>
      <w:r>
        <w:pict>
          <v:line strokeweight="0.5pt" strokecolor="#000000" from="107.75pt,708.5pt" to="252.05pt,708.5pt" style="position:absolute;mso-position-horizontal-relative:page;mso-position-vertical-relative:page;">
            <v:stroke dashstyle="solid"/>
          </v:line>
        </w:pict>
      </w:r>
      <w:r>
        <w:rPr>
          <w:rFonts w:ascii="Calibri" w:hAnsi="Calibri" w:eastAsia="Calibri"/>
          <w:b w:val="true"/>
          <w:color w:val="000000"/>
          <w:spacing w:val="-1"/>
          <w:w w:val="100"/>
          <w:sz w:val="15"/>
          <w:vertAlign w:val="superscript"/>
          <w:lang w:val="en-US"/>
        </w:rPr>
        <w:t xml:space="preserve">3</w:t>
      </w:r>
      <w:r>
        <w:rPr>
          <w:rFonts w:ascii="Calibri" w:hAnsi="Calibri" w:eastAsia="Calibri"/>
          <w:i w:val="true"/>
          <w:color w:val="000000"/>
          <w:spacing w:val="-1"/>
          <w:w w:val="100"/>
          <w:sz w:val="25"/>
          <w:vertAlign w:val="baseline"/>
          <w:lang w:val="en-US"/>
        </w:rPr>
        <w:tab/>
      </w:r>
      <w:r>
        <w:rPr>
          <w:rFonts w:ascii="Calibri" w:hAnsi="Calibri" w:eastAsia="Calibri"/>
          <w:i w:val="true"/>
          <w:color w:val="000000"/>
          <w:spacing w:val="-1"/>
          <w:w w:val="100"/>
          <w:sz w:val="25"/>
          <w:vertAlign w:val="baseline"/>
          <w:lang w:val="en-US"/>
        </w:rPr>
        <w:t xml:space="preserve">See </w:t>
      </w:r>
      <w:r>
        <w:rPr>
          <w:rFonts w:ascii="Calibri" w:hAnsi="Calibri" w:eastAsia="Calibri"/>
          <w:color w:val="000000"/>
          <w:spacing w:val="-1"/>
          <w:w w:val="100"/>
          <w:sz w:val="24"/>
          <w:vertAlign w:val="baseline"/>
          <w:lang w:val="en-US"/>
        </w:rPr>
        <w:t xml:space="preserve">Penal Law § 15.05(3); </w:t>
      </w:r>
      <w:r>
        <w:rPr>
          <w:rFonts w:ascii="Calibri" w:hAnsi="Calibri" w:eastAsia="Calibri"/>
          <w:i w:val="true"/>
          <w:color w:val="000000"/>
          <w:spacing w:val="-1"/>
          <w:w w:val="100"/>
          <w:sz w:val="25"/>
          <w:vertAlign w:val="baseline"/>
          <w:lang w:val="en-US"/>
        </w:rPr>
        <w:t xml:space="preserve">People v. Boutin, </w:t>
      </w:r>
      <w:r>
        <w:rPr>
          <w:rFonts w:ascii="Calibri" w:hAnsi="Calibri" w:eastAsia="Calibri"/>
          <w:color w:val="000000"/>
          <w:spacing w:val="-1"/>
          <w:w w:val="100"/>
          <w:sz w:val="24"/>
          <w:vertAlign w:val="baseline"/>
          <w:lang w:val="en-US"/>
        </w:rPr>
        <w:t xml:space="preserve">75 NY2d 692, 696 (1990).</w:t>
      </w:r>
    </w:p>
    <w:p>
      <w:pPr>
        <w:pageBreakBefore w:val="false"/>
        <w:tabs>
          <w:tab w:val="left" w:leader="none" w:pos="576"/>
        </w:tabs>
        <w:spacing w:before="37" w:after="0" w:line="256" w:lineRule="exact"/>
        <w:ind w:right="0" w:left="216" w:firstLine="0"/>
        <w:jc w:val="left"/>
        <w:textAlignment w:val="baseline"/>
        <w:rPr>
          <w:rFonts w:ascii="Calibri" w:hAnsi="Calibri" w:eastAsia="Calibri"/>
          <w:b w:val="true"/>
          <w:color w:val="000000"/>
          <w:spacing w:val="-1"/>
          <w:w w:val="100"/>
          <w:sz w:val="15"/>
          <w:vertAlign w:val="superscript"/>
          <w:lang w:val="en-US"/>
        </w:rPr>
      </w:pPr>
      <w:r>
        <w:rPr>
          <w:rFonts w:ascii="Calibri" w:hAnsi="Calibri" w:eastAsia="Calibri"/>
          <w:b w:val="true"/>
          <w:color w:val="000000"/>
          <w:spacing w:val="-1"/>
          <w:w w:val="100"/>
          <w:sz w:val="15"/>
          <w:vertAlign w:val="superscript"/>
          <w:lang w:val="en-US"/>
        </w:rPr>
        <w:t xml:space="preserve">4</w:t>
      </w:r>
      <w:r>
        <w:rPr>
          <w:rFonts w:ascii="Calibri" w:hAnsi="Calibri" w:eastAsia="Calibri"/>
          <w:color w:val="000000"/>
          <w:spacing w:val="-1"/>
          <w:w w:val="100"/>
          <w:sz w:val="24"/>
          <w:vertAlign w:val="baseline"/>
          <w:lang w:val="en-US"/>
        </w:rPr>
        <w:tab/>
      </w:r>
      <w:r>
        <w:rPr>
          <w:rFonts w:ascii="Calibri" w:hAnsi="Calibri" w:eastAsia="Calibri"/>
          <w:color w:val="000000"/>
          <w:spacing w:val="-1"/>
          <w:w w:val="100"/>
          <w:sz w:val="24"/>
          <w:vertAlign w:val="baseline"/>
          <w:lang w:val="en-US"/>
        </w:rPr>
        <w:t xml:space="preserve">Penal Law § 15.05(3).</w:t>
      </w:r>
    </w:p>
    <w:p>
      <w:pPr>
        <w:sectPr>
          <w:type w:val="nextPage"/>
          <w:pgSz w:w="12240" w:h="15840" w:orient="portrait"/>
          <w:pgMar w:bottom="584" w:top="1080" w:right="2125" w:left="2155" w:header="720" w:footer="720"/>
          <w:titlePg w:val="false"/>
          <w:textDirection w:val="lrTb"/>
        </w:sectPr>
      </w:pPr>
    </w:p>
    <w:p>
      <w:pPr>
        <w:pageBreakBefore w:val="false"/>
        <w:spacing w:before="0" w:after="0" w:line="340" w:lineRule="exact"/>
        <w:ind w:right="0" w:left="0" w:firstLine="144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metal knuckles, defined as a metal object with multiple holes, through which individual places his or her fingers so that a metal bar rests atop the individual’s knuckles.</w:t>
      </w:r>
    </w:p>
    <w:p>
      <w:pPr>
        <w:pageBreakBefore w:val="false"/>
        <w:spacing w:before="511" w:after="0" w:line="320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billy, defined as a cylindrical or rounded, rigid, club or baton with a handle grip which, from its appearance and inherent characteristics, is designed to be used as a striking weapon and not for other lawful purposes.</w:t>
      </w:r>
    </w:p>
    <w:p>
      <w:pPr>
        <w:pageBreakBefore w:val="false"/>
        <w:spacing w:before="332" w:after="0" w:line="31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dagger</w:t>
      </w:r>
    </w:p>
    <w:p>
      <w:pPr>
        <w:pageBreakBefore w:val="false"/>
        <w:spacing w:before="322" w:after="0" w:line="31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a blackjack</w:t>
      </w:r>
    </w:p>
    <w:p>
      <w:pPr>
        <w:pageBreakBefore w:val="false"/>
        <w:spacing w:before="319" w:after="0" w:line="317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plastic knuckles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-4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4" w:after="0" w:line="320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[DANGEROUS INSTRUMENT means any instrument, article or substance (including a vehicle) which, under the circumstances in which it is used, attempted to be used, or threatened to be used, is readily capable of causing death or other serious physical injury.]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6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4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tabs>
          <w:tab w:val="right" w:leader="none" w:pos="7920"/>
        </w:tabs>
        <w:spacing w:before="327" w:after="0" w:line="32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1.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(date)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(county)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, the</w:t>
      </w:r>
    </w:p>
    <w:p>
      <w:pPr>
        <w:pageBreakBefore w:val="false"/>
        <w:spacing w:before="0" w:after="214" w:line="321" w:lineRule="exact"/>
        <w:ind w:right="0" w:left="144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(defendant's name)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, caused serious physical injury to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(specify)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by means of a deadly weapon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dangerous instrument]; and</w:t>
      </w:r>
    </w:p>
    <w:p>
      <w:pPr>
        <w:pageBreakBefore w:val="false"/>
        <w:spacing w:before="155" w:after="0" w:line="277" w:lineRule="exact"/>
        <w:ind w:right="72" w:left="0" w:firstLine="288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7pt" strokecolor="#000000" from="107.35pt,559.9pt" to="252.05pt,559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10.00(12) defines “deadly weapon.”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265.00 for the definitions of “switchblade knife,” “gravity knife,” “pilum ballistic knife” and “metal knuckle knife”;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v. Aragon,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28 N.Y.3d 125 (2016)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(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for the definition of “metal knuckles”);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v. Ocasio,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28 N.Y.3d 178 (2016) (for the definition of “billy”).</w:t>
      </w:r>
    </w:p>
    <w:p>
      <w:pPr>
        <w:pageBreakBefore w:val="false"/>
        <w:spacing w:before="157" w:after="0" w:line="277" w:lineRule="exact"/>
        <w:ind w:right="72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There is no controlling statutory or decisional law definition of “plastic knuckles” albeit the legislative memorandum in support of adding that term equated it with “brass [metal] knuckles”; thus, for the definition of “plastic knuckles,” a court may wish to consider using the definition of “metal knuckles,” substituting “plastic object” for “metal object” and “plastic bar” for “metal bar.”</w:t>
      </w:r>
    </w:p>
    <w:p>
      <w:pPr>
        <w:pageBreakBefore w:val="false"/>
        <w:tabs>
          <w:tab w:val="left" w:leader="none" w:pos="648"/>
        </w:tabs>
        <w:spacing w:before="0" w:after="0" w:line="269" w:lineRule="exact"/>
        <w:ind w:right="0" w:left="288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14"/>
          <w:vertAlign w:val="superscript"/>
          <w:lang w:val="en-US"/>
        </w:rPr>
        <w:t xml:space="preserve">6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ab/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10.00(13).</w:t>
      </w:r>
    </w:p>
    <w:p>
      <w:pPr>
        <w:sectPr>
          <w:type w:val="nextPage"/>
          <w:pgSz w:w="12240" w:h="15840" w:orient="portrait"/>
          <w:pgMar w:bottom="584" w:top="1080" w:right="2133" w:left="2147" w:header="720" w:footer="720"/>
          <w:titlePg w:val="false"/>
          <w:textDirection w:val="lrTb"/>
        </w:sectPr>
      </w:pPr>
    </w:p>
    <w:p>
      <w:pPr>
        <w:pageBreakBefore w:val="false"/>
        <w:tabs>
          <w:tab w:val="left" w:leader="none" w:pos="720"/>
        </w:tabs>
        <w:spacing w:before="15" w:after="0" w:line="3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2.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recklessly.</w:t>
      </w:r>
    </w:p>
    <w:p>
      <w:pPr>
        <w:pageBreakBefore w:val="false"/>
        <w:spacing w:before="323" w:after="0" w:line="321" w:lineRule="exact"/>
        <w:ind w:right="0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that the People have proven beyond a reasonable doubt both of those elements, you must find the defendant guilty of this crime.</w:t>
      </w:r>
    </w:p>
    <w:p>
      <w:pPr>
        <w:pageBreakBefore w:val="false"/>
        <w:spacing w:before="299" w:after="0" w:line="343" w:lineRule="exact"/>
        <w:ind w:right="0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that the People have not proven beyond a reasonable doubt either one or both of those elements, you must find the defendant not guilty of this crime.</w:t>
      </w:r>
    </w:p>
    <w:sectPr>
      <w:type w:val="nextPage"/>
      <w:pgSz w:w="12240" w:h="15840" w:orient="portrait"/>
      <w:pgMar w:bottom="11084" w:top="1400" w:right="2142" w:left="213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