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5D1F" w14:textId="77777777" w:rsidR="009E6633" w:rsidRDefault="00946948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ASSAULT IN THE SECOND DEGREE </w:t>
      </w:r>
      <w:r>
        <w:rPr>
          <w:rFonts w:ascii="Arial" w:eastAsia="Arial" w:hAnsi="Arial"/>
          <w:b/>
          <w:color w:val="000000"/>
          <w:sz w:val="28"/>
        </w:rPr>
        <w:br/>
        <w:t>Penal Law § 120.05(12)</w:t>
      </w:r>
    </w:p>
    <w:p w14:paraId="68B45D20" w14:textId="77777777" w:rsidR="009E6633" w:rsidRDefault="00946948">
      <w:pPr>
        <w:spacing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(Committed on or after June 29, 2008)</w:t>
      </w:r>
    </w:p>
    <w:p w14:paraId="68B45D21" w14:textId="77777777" w:rsidR="009E6633" w:rsidRDefault="00946948">
      <w:pPr>
        <w:spacing w:before="328" w:line="319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Assault in the Second Degree.</w:t>
      </w:r>
    </w:p>
    <w:p w14:paraId="68B45D22" w14:textId="77777777" w:rsidR="009E6633" w:rsidRDefault="00946948">
      <w:pPr>
        <w:spacing w:before="323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Under our law, a person is guilty of Assault in the Second Degree when, with intent to cause physical injury to a person who is sixty-five years of age or older, he or she causes such injury to such person, and the actor is more than ten years younger than</w:t>
      </w:r>
      <w:r>
        <w:rPr>
          <w:rFonts w:ascii="Arial" w:eastAsia="Arial" w:hAnsi="Arial"/>
          <w:color w:val="000000"/>
          <w:spacing w:val="-3"/>
          <w:sz w:val="28"/>
        </w:rPr>
        <w:t xml:space="preserve"> such person.</w:t>
      </w:r>
    </w:p>
    <w:p w14:paraId="68B45D23" w14:textId="77777777" w:rsidR="009E6633" w:rsidRDefault="00946948">
      <w:pPr>
        <w:spacing w:before="321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68B45D24" w14:textId="77777777" w:rsidR="009E6633" w:rsidRDefault="00946948">
      <w:pPr>
        <w:spacing w:before="334" w:line="31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PHYSICAL INJURY means impairment of physical condition or substantial pain.</w:t>
      </w:r>
      <w:r>
        <w:rPr>
          <w:rFonts w:ascii="Arial" w:eastAsia="Arial" w:hAnsi="Arial"/>
          <w:color w:val="000000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8B45D25" w14:textId="77777777" w:rsidR="009E6633" w:rsidRDefault="00946948">
      <w:pPr>
        <w:spacing w:before="334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"/>
          <w:sz w:val="28"/>
        </w:rPr>
      </w:pPr>
      <w:r>
        <w:rPr>
          <w:rFonts w:ascii="Arial" w:eastAsia="Arial" w:hAnsi="Arial"/>
          <w:color w:val="000000"/>
          <w:spacing w:val="-1"/>
          <w:sz w:val="28"/>
        </w:rPr>
        <w:t>INTENT means conscious objective or purpose. Thus, a person acts with intent to cause physical i</w:t>
      </w:r>
      <w:r>
        <w:rPr>
          <w:rFonts w:ascii="Arial" w:eastAsia="Arial" w:hAnsi="Arial"/>
          <w:color w:val="000000"/>
          <w:spacing w:val="-1"/>
          <w:sz w:val="28"/>
        </w:rPr>
        <w:t>njury to a person who is sixty-five years of age or older when that person's conscious objective or purpose is to cause physical injury to such person.</w:t>
      </w:r>
      <w:r>
        <w:rPr>
          <w:rFonts w:ascii="Arial" w:eastAsia="Arial" w:hAnsi="Arial"/>
          <w:color w:val="000000"/>
          <w:spacing w:val="-1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pacing w:val="-1"/>
          <w:sz w:val="17"/>
        </w:rPr>
        <w:t xml:space="preserve"> </w:t>
      </w:r>
    </w:p>
    <w:p w14:paraId="68B45D26" w14:textId="77777777" w:rsidR="009E6633" w:rsidRDefault="00946948">
      <w:pPr>
        <w:spacing w:before="33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four elements:</w:t>
      </w:r>
    </w:p>
    <w:p w14:paraId="68B45D27" w14:textId="77777777" w:rsidR="009E6633" w:rsidRDefault="00946948">
      <w:pPr>
        <w:numPr>
          <w:ilvl w:val="0"/>
          <w:numId w:val="1"/>
        </w:numPr>
        <w:tabs>
          <w:tab w:val="clear" w:pos="720"/>
          <w:tab w:val="left" w:pos="1440"/>
        </w:tabs>
        <w:spacing w:before="325" w:line="322" w:lineRule="exact"/>
        <w:ind w:left="1440" w:hanging="720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That on or about (</w:t>
      </w:r>
      <w:r>
        <w:rPr>
          <w:rFonts w:ascii="Arial" w:eastAsia="Arial" w:hAnsi="Arial"/>
          <w:i/>
          <w:color w:val="000000"/>
          <w:spacing w:val="-3"/>
          <w:sz w:val="28"/>
          <w:u w:val="single"/>
        </w:rPr>
        <w:t>date</w:t>
      </w:r>
      <w:r>
        <w:rPr>
          <w:rFonts w:ascii="Arial" w:eastAsia="Arial" w:hAnsi="Arial"/>
          <w:color w:val="000000"/>
          <w:spacing w:val="-3"/>
          <w:sz w:val="28"/>
          <w:u w:val="single"/>
        </w:rPr>
        <w:t>)</w:t>
      </w:r>
      <w:r>
        <w:rPr>
          <w:rFonts w:ascii="Arial" w:eastAsia="Arial" w:hAnsi="Arial"/>
          <w:color w:val="000000"/>
          <w:spacing w:val="-3"/>
          <w:sz w:val="28"/>
        </w:rPr>
        <w:t>, in the county of (</w:t>
      </w:r>
      <w:r>
        <w:rPr>
          <w:rFonts w:ascii="Arial" w:eastAsia="Arial" w:hAnsi="Arial"/>
          <w:i/>
          <w:color w:val="000000"/>
          <w:spacing w:val="-3"/>
          <w:sz w:val="28"/>
          <w:u w:val="single"/>
        </w:rPr>
        <w:t>county</w:t>
      </w:r>
      <w:r>
        <w:rPr>
          <w:rFonts w:ascii="Arial" w:eastAsia="Arial" w:hAnsi="Arial"/>
          <w:color w:val="000000"/>
          <w:spacing w:val="-3"/>
          <w:sz w:val="28"/>
        </w:rPr>
        <w:t>), the</w:t>
      </w:r>
    </w:p>
    <w:p w14:paraId="68B45D28" w14:textId="77777777" w:rsidR="009E6633" w:rsidRDefault="00946948">
      <w:pPr>
        <w:spacing w:before="67" w:line="336" w:lineRule="exact"/>
        <w:ind w:left="144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defend</w:t>
      </w:r>
      <w:r>
        <w:rPr>
          <w:rFonts w:ascii="Arial" w:eastAsia="Arial" w:hAnsi="Arial"/>
          <w:color w:val="000000"/>
          <w:sz w:val="28"/>
        </w:rPr>
        <w:t>ant, (</w:t>
      </w:r>
      <w:r>
        <w:rPr>
          <w:rFonts w:ascii="Arial" w:eastAsia="Arial" w:hAnsi="Arial"/>
          <w:i/>
          <w:color w:val="000000"/>
          <w:sz w:val="28"/>
          <w:u w:val="single"/>
        </w:rPr>
        <w:t>name of defendant</w:t>
      </w:r>
      <w:r>
        <w:rPr>
          <w:rFonts w:ascii="Arial" w:eastAsia="Arial" w:hAnsi="Arial"/>
          <w:color w:val="000000"/>
          <w:sz w:val="28"/>
        </w:rPr>
        <w:t>)</w:t>
      </w:r>
      <w:r>
        <w:rPr>
          <w:rFonts w:ascii="Arial" w:eastAsia="Arial" w:hAnsi="Arial"/>
          <w:color w:val="000000"/>
          <w:w w:val="110"/>
          <w:sz w:val="36"/>
        </w:rPr>
        <w:t xml:space="preserve">, </w:t>
      </w:r>
      <w:r>
        <w:rPr>
          <w:rFonts w:ascii="Arial" w:eastAsia="Arial" w:hAnsi="Arial"/>
          <w:color w:val="000000"/>
          <w:sz w:val="28"/>
        </w:rPr>
        <w:t>caused physical injury to (</w:t>
      </w:r>
      <w:r>
        <w:rPr>
          <w:rFonts w:ascii="Arial" w:eastAsia="Arial" w:hAnsi="Arial"/>
          <w:i/>
          <w:color w:val="000000"/>
          <w:sz w:val="28"/>
          <w:u w:val="single"/>
        </w:rPr>
        <w:t>name of complainant</w:t>
      </w:r>
      <w:r>
        <w:rPr>
          <w:rFonts w:ascii="Arial" w:eastAsia="Arial" w:hAnsi="Arial"/>
          <w:color w:val="000000"/>
          <w:sz w:val="28"/>
        </w:rPr>
        <w:t>);</w:t>
      </w:r>
      <w:r>
        <w:rPr>
          <w:rFonts w:ascii="Arial" w:eastAsia="Arial" w:hAnsi="Arial"/>
          <w:color w:val="000000"/>
          <w:sz w:val="28"/>
          <w:u w:val="single"/>
        </w:rPr>
        <w:t xml:space="preserve"> </w:t>
      </w:r>
    </w:p>
    <w:p w14:paraId="3389FE58" w14:textId="08DC8CD2" w:rsidR="00946948" w:rsidRPr="00946948" w:rsidRDefault="00946948" w:rsidP="00946948">
      <w:pPr>
        <w:numPr>
          <w:ilvl w:val="0"/>
          <w:numId w:val="1"/>
        </w:numPr>
        <w:tabs>
          <w:tab w:val="clear" w:pos="720"/>
          <w:tab w:val="left" w:pos="1440"/>
        </w:tabs>
        <w:spacing w:before="422" w:after="1162" w:line="322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with the intent to cause physical injury to (</w:t>
      </w:r>
      <w:r>
        <w:rPr>
          <w:rFonts w:ascii="Arial" w:eastAsia="Arial" w:hAnsi="Arial"/>
          <w:i/>
          <w:color w:val="000000"/>
          <w:sz w:val="28"/>
          <w:u w:val="single"/>
        </w:rPr>
        <w:t>name of complainant</w:t>
      </w:r>
      <w:r>
        <w:rPr>
          <w:rFonts w:ascii="Arial" w:eastAsia="Arial" w:hAnsi="Arial"/>
          <w:color w:val="000000"/>
          <w:sz w:val="28"/>
        </w:rPr>
        <w:t>);</w:t>
      </w:r>
      <w:r>
        <w:rPr>
          <w:rFonts w:ascii="Arial" w:eastAsia="Arial" w:hAnsi="Arial"/>
          <w:color w:val="000000"/>
          <w:sz w:val="28"/>
          <w:u w:val="single"/>
        </w:rPr>
        <w:t xml:space="preserve"> </w:t>
      </w:r>
      <w:bookmarkStart w:id="0" w:name="_GoBack"/>
      <w:bookmarkEnd w:id="0"/>
    </w:p>
    <w:p w14:paraId="68B45D2A" w14:textId="77777777" w:rsidR="009E6633" w:rsidRDefault="00946948">
      <w:pPr>
        <w:spacing w:before="250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68B45D34">
          <v:line id="_x0000_s1027" style="position:absolute;z-index:251657216;mso-position-horizontal-relative:page;mso-position-vertical-relative:page" from="108pt,658.55pt" to="252.05pt,658.5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Penal Law § 10.00(9); </w:t>
      </w:r>
      <w:r>
        <w:rPr>
          <w:rFonts w:ascii="Arial" w:eastAsia="Arial" w:hAnsi="Arial"/>
          <w:i/>
          <w:color w:val="000000"/>
          <w:sz w:val="24"/>
        </w:rPr>
        <w:t xml:space="preserve">See People v. </w:t>
      </w:r>
      <w:proofErr w:type="spellStart"/>
      <w:r>
        <w:rPr>
          <w:rFonts w:ascii="Arial" w:eastAsia="Arial" w:hAnsi="Arial"/>
          <w:i/>
          <w:color w:val="000000"/>
          <w:sz w:val="24"/>
        </w:rPr>
        <w:t>Chiddick</w:t>
      </w:r>
      <w:proofErr w:type="spellEnd"/>
      <w:r>
        <w:rPr>
          <w:rFonts w:ascii="Arial" w:eastAsia="Arial" w:hAnsi="Arial"/>
          <w:color w:val="000000"/>
          <w:sz w:val="24"/>
        </w:rPr>
        <w:t>, 8 NY3d 445 (2007).</w:t>
      </w:r>
    </w:p>
    <w:p w14:paraId="68B45D2B" w14:textId="77777777" w:rsidR="009E6633" w:rsidRDefault="00946948">
      <w:pPr>
        <w:spacing w:before="249" w:line="276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15.05(1). If necessary, an expanded definition of "intent" is available in the section on Instructions of General Applicability under Culpable Mental States.</w:t>
      </w:r>
    </w:p>
    <w:p w14:paraId="68B45D2C" w14:textId="77777777" w:rsidR="009E6633" w:rsidRDefault="009E6633">
      <w:pPr>
        <w:sectPr w:rsidR="009E6633">
          <w:pgSz w:w="12240" w:h="15840"/>
          <w:pgMar w:top="1080" w:right="2140" w:bottom="664" w:left="2160" w:header="720" w:footer="720" w:gutter="0"/>
          <w:cols w:space="720"/>
        </w:sectPr>
      </w:pPr>
    </w:p>
    <w:p w14:paraId="68B45D2D" w14:textId="77777777" w:rsidR="009E6633" w:rsidRDefault="00946948">
      <w:pPr>
        <w:numPr>
          <w:ilvl w:val="0"/>
          <w:numId w:val="2"/>
        </w:numPr>
        <w:tabs>
          <w:tab w:val="clear" w:pos="720"/>
          <w:tab w:val="left" w:pos="1440"/>
        </w:tabs>
        <w:spacing w:before="5" w:line="322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That, at that time, (</w:t>
      </w:r>
      <w:r>
        <w:rPr>
          <w:rFonts w:ascii="Arial" w:eastAsia="Arial" w:hAnsi="Arial"/>
          <w:i/>
          <w:color w:val="000000"/>
          <w:sz w:val="28"/>
          <w:u w:val="single"/>
        </w:rPr>
        <w:t>name of complainant</w:t>
      </w:r>
      <w:r>
        <w:rPr>
          <w:rFonts w:ascii="Arial" w:eastAsia="Arial" w:hAnsi="Arial"/>
          <w:color w:val="000000"/>
          <w:sz w:val="28"/>
        </w:rPr>
        <w:t>) was six</w:t>
      </w:r>
      <w:r>
        <w:rPr>
          <w:rFonts w:ascii="Arial" w:eastAsia="Arial" w:hAnsi="Arial"/>
          <w:color w:val="000000"/>
          <w:sz w:val="28"/>
        </w:rPr>
        <w:t xml:space="preserve">ty-five years of age or older; 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28"/>
        </w:rPr>
        <w:t xml:space="preserve"> and</w:t>
      </w:r>
    </w:p>
    <w:p w14:paraId="68B45D2E" w14:textId="77777777" w:rsidR="009E6633" w:rsidRDefault="00946948">
      <w:pPr>
        <w:numPr>
          <w:ilvl w:val="0"/>
          <w:numId w:val="2"/>
        </w:numPr>
        <w:tabs>
          <w:tab w:val="clear" w:pos="720"/>
          <w:tab w:val="left" w:pos="1440"/>
        </w:tabs>
        <w:spacing w:before="327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That, at that time, the defendant was more than ten years younger than (</w:t>
      </w:r>
      <w:r>
        <w:rPr>
          <w:rFonts w:ascii="Arial" w:eastAsia="Arial" w:hAnsi="Arial"/>
          <w:i/>
          <w:color w:val="000000"/>
          <w:sz w:val="28"/>
          <w:u w:val="single"/>
        </w:rPr>
        <w:t>name of complainant</w:t>
      </w:r>
      <w:r>
        <w:rPr>
          <w:rFonts w:ascii="Arial" w:eastAsia="Arial" w:hAnsi="Arial"/>
          <w:color w:val="000000"/>
          <w:sz w:val="28"/>
        </w:rPr>
        <w:t>).</w:t>
      </w:r>
      <w:r>
        <w:rPr>
          <w:rFonts w:ascii="Arial" w:eastAsia="Arial" w:hAnsi="Arial"/>
          <w:color w:val="000000"/>
          <w:sz w:val="28"/>
          <w:u w:val="single"/>
        </w:rPr>
        <w:t xml:space="preserve"> </w:t>
      </w:r>
    </w:p>
    <w:p w14:paraId="68B45D2F" w14:textId="77777777" w:rsidR="009E6633" w:rsidRDefault="00946948">
      <w:pPr>
        <w:spacing w:before="328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</w:t>
      </w:r>
      <w:r>
        <w:rPr>
          <w:rFonts w:ascii="Arial" w:eastAsia="Arial" w:hAnsi="Arial"/>
          <w:color w:val="000000"/>
          <w:sz w:val="28"/>
        </w:rPr>
        <w:t>his crime.</w:t>
      </w:r>
    </w:p>
    <w:p w14:paraId="68B45D30" w14:textId="77777777" w:rsidR="009E6633" w:rsidRDefault="00946948">
      <w:pPr>
        <w:spacing w:before="323" w:after="76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68B45D31" w14:textId="77777777" w:rsidR="009E6633" w:rsidRDefault="009E6633">
      <w:pPr>
        <w:spacing w:before="323" w:after="7616" w:line="326" w:lineRule="exact"/>
        <w:sectPr w:rsidR="009E6633">
          <w:pgSz w:w="12240" w:h="15840"/>
          <w:pgMar w:top="1080" w:right="2145" w:bottom="664" w:left="2155" w:header="720" w:footer="720" w:gutter="0"/>
          <w:cols w:space="720"/>
        </w:sectPr>
      </w:pPr>
    </w:p>
    <w:p w14:paraId="68B45D32" w14:textId="77777777" w:rsidR="009E6633" w:rsidRDefault="00946948">
      <w:pPr>
        <w:spacing w:before="271" w:line="256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68B45D35">
          <v:line id="_x0000_s1026" style="position:absolute;left:0;text-align:left;z-index:251658240;mso-position-horizontal-relative:page;mso-position-vertical-relative:page" from="107.75pt,647.05pt" to="252.05pt,647.0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i/>
          <w:color w:val="000000"/>
        </w:rPr>
        <w:t>People v. Burman</w:t>
      </w:r>
      <w:r>
        <w:rPr>
          <w:rFonts w:ascii="Arial" w:eastAsia="Arial" w:hAnsi="Arial"/>
          <w:color w:val="000000"/>
        </w:rPr>
        <w:t xml:space="preserve">, 173 A.D.3d 1727, 102 N.Y.S.3d 849, 851 (4th Dept 2019) (defendant does not have to know that the person assaulted was 65 years of age or older; “the statute simply requires that the person whom the actor intentionally injures be, as a matter of fact, 65 </w:t>
      </w:r>
      <w:r>
        <w:rPr>
          <w:rFonts w:ascii="Arial" w:eastAsia="Arial" w:hAnsi="Arial"/>
          <w:color w:val="000000"/>
        </w:rPr>
        <w:t>years of age or older”).</w:t>
      </w:r>
    </w:p>
    <w:p w14:paraId="68B45D33" w14:textId="77777777" w:rsidR="009E6633" w:rsidRDefault="00946948">
      <w:pPr>
        <w:spacing w:before="249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sectPr w:rsidR="009E6633">
      <w:type w:val="continuous"/>
      <w:pgSz w:w="12240" w:h="15840"/>
      <w:pgMar w:top="1080" w:right="2145" w:bottom="664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CCE"/>
    <w:multiLevelType w:val="multilevel"/>
    <w:tmpl w:val="87CE875C"/>
    <w:lvl w:ilvl="0">
      <w:start w:val="3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44D54"/>
    <w:multiLevelType w:val="multilevel"/>
    <w:tmpl w:val="8E62C3A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3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633"/>
    <w:rsid w:val="00946948"/>
    <w:rsid w:val="009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B45D1F"/>
  <w15:docId w15:val="{D785FE2A-BBAF-4BCF-81A6-7E54289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2</cp:revision>
  <dcterms:created xsi:type="dcterms:W3CDTF">2019-09-29T12:32:00Z</dcterms:created>
  <dcterms:modified xsi:type="dcterms:W3CDTF">2019-09-29T12:32:00Z</dcterms:modified>
</cp:coreProperties>
</file>