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VEHICULAR MANSLAUGHTER IN THE FIRST DEGREE</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125.13(6)</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Dec. 18, 2009)</w:t>
      </w:r>
    </w:p>
    <w:p>
      <w:pPr>
        <w:pageBreakBefore w:val="false"/>
        <w:spacing w:before="648" w:after="0" w:line="324"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Vehicular Manslaughter in the First Degree.</w:t>
      </w:r>
    </w:p>
    <w:p>
      <w:pPr>
        <w:pageBreakBefore w:val="false"/>
        <w:spacing w:before="322" w:after="0" w:line="324" w:lineRule="exact"/>
        <w:ind w:right="0" w:left="0" w:firstLine="72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Vehicular Manslaughter in the First Degree when he or she</w:t>
      </w:r>
      <w:r>
        <w:rPr>
          <w:rFonts w:ascii="Arial" w:hAnsi="Arial" w:eastAsia="Arial"/>
          <w:color w:val="000000"/>
          <w:spacing w:val="-3"/>
          <w:w w:val="100"/>
          <w:sz w:val="28"/>
          <w:vertAlign w:val="superscript"/>
          <w:lang w:val="en-US"/>
        </w:rPr>
        <w:t xml:space="preserve">1</w:t>
      </w:r>
      <w:r>
        <w:rPr>
          <w:rFonts w:ascii="Arial" w:hAnsi="Arial" w:eastAsia="Arial"/>
          <w:color w:val="000000"/>
          <w:spacing w:val="-3"/>
          <w:w w:val="100"/>
          <w:sz w:val="28"/>
          <w:vertAlign w:val="baseline"/>
          <w:lang w:val="en-US"/>
        </w:rPr>
        <w:t xml:space="preserve"> operates a motor vehicle</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7"/>
          <w:vertAlign w:val="baseline"/>
          <w:lang w:val="en-US"/>
        </w:rPr>
        <w:t xml:space="preserve">
</w:t>
      </w:r>
    </w:p>
    <w:p>
      <w:pPr>
        <w:pageBreakBefore w:val="false"/>
        <w:spacing w:before="328" w:after="0" w:line="319"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2" w:after="0" w:line="324"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has .08 of one per centum or more by weight of alcohol in his or her blood as shown by chemical</w:t>
      </w:r>
    </w:p>
    <w:p>
      <w:pPr>
        <w:pageBreakBefore w:val="false"/>
        <w:spacing w:before="0"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analysis of his or her blood, breath, urine or saliva.</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tabs>
          <w:tab w:val="left" w:leader="none" w:pos="1440"/>
        </w:tabs>
        <w:spacing w:before="324" w:after="0" w:line="324"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while he or she is in an intoxicated condition.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tabs>
          <w:tab w:val="left" w:leader="none" w:pos="1440"/>
        </w:tabs>
        <w:spacing w:before="335" w:after="1861" w:line="316"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while his or her ability to operate such a vehicle is impaired by the use of a drug. </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07" w:after="0" w:line="277" w:lineRule="exact"/>
        <w:ind w:right="0" w:left="0" w:firstLine="0"/>
        <w:jc w:val="both"/>
        <w:textAlignment w:val="baseline"/>
        <w:rPr>
          <w:rFonts w:ascii="Arial" w:hAnsi="Arial" w:eastAsia="Arial"/>
          <w:color w:val="000000"/>
          <w:spacing w:val="-2"/>
          <w:w w:val="100"/>
          <w:sz w:val="17"/>
          <w:vertAlign w:val="baseline"/>
          <w:lang w:val="en-US"/>
        </w:rPr>
      </w:pPr>
      <w:r>
        <w:pict>
          <v:line strokeweight="1.2pt" strokecolor="#000000" from="108pt,488.9pt" to="252.05pt,488.9pt" style="position:absolute;mso-position-horizontal-relative:page;mso-position-vertical-relative:page;">
            <v:stroke dashstyle="solid"/>
          </v:line>
        </w:pict>
      </w:r>
      <w:r>
        <w:rPr>
          <w:rFonts w:ascii="Arial" w:hAnsi="Arial" w:eastAsia="Arial"/>
          <w:color w:val="000000"/>
          <w:spacing w:val="-2"/>
          <w:w w:val="100"/>
          <w:sz w:val="17"/>
          <w:vertAlign w:val="baseline"/>
          <w:lang w:val="en-US"/>
        </w:rPr>
        <w:t xml:space="preserve">1 </w:t>
      </w:r>
      <w:r>
        <w:rPr>
          <w:rFonts w:ascii="Arial" w:hAnsi="Arial" w:eastAsia="Arial"/>
          <w:color w:val="000000"/>
          <w:spacing w:val="-2"/>
          <w:w w:val="100"/>
          <w:sz w:val="24"/>
          <w:vertAlign w:val="baseline"/>
          <w:lang w:val="en-US"/>
        </w:rPr>
        <w:t xml:space="preserve">At this point, Vehicular Manslaughter in the First Degree states: “commits the crime of vehicular manslaughter in the second degree as defined in section 125.12 of this article...” This charge omits the statutory language and sets forth the elements and alternatives for the underlying offense.</w:t>
      </w:r>
    </w:p>
    <w:p>
      <w:pPr>
        <w:pageBreakBefore w:val="false"/>
        <w:spacing w:before="234" w:after="0" w:line="277" w:lineRule="exact"/>
        <w:ind w:right="0" w:left="0" w:firstLine="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At this point, the statute for the underlying offense of Vehicular Manslaughter in the Second Degree (PL § 125.12[1]) states: “in violation of subdivision two, three, four or four-a of section eleven hundred ninety-two of the vehicle and traffic law....” This charge substitutes the operative language of each of those subdivisions. The court should select the appropriate subdivision(s) to charge.</w:t>
      </w:r>
    </w:p>
    <w:p>
      <w:pPr>
        <w:pageBreakBefore w:val="false"/>
        <w:spacing w:before="254" w:after="0" w:line="292" w:lineRule="exact"/>
        <w:ind w:right="0" w:left="0" w:firstLine="0"/>
        <w:jc w:val="left"/>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3 </w:t>
      </w:r>
      <w:r>
        <w:rPr>
          <w:rFonts w:ascii="Arial" w:hAnsi="Arial" w:eastAsia="Arial"/>
          <w:i w:val="true"/>
          <w:color w:val="000000"/>
          <w:spacing w:val="-1"/>
          <w:w w:val="100"/>
          <w:sz w:val="23"/>
          <w:vertAlign w:val="baseline"/>
          <w:lang w:val="en-US"/>
        </w:rPr>
        <w:t xml:space="preserve">See </w:t>
      </w:r>
      <w:r>
        <w:rPr>
          <w:rFonts w:ascii="Arial" w:hAnsi="Arial" w:eastAsia="Arial"/>
          <w:color w:val="000000"/>
          <w:spacing w:val="-1"/>
          <w:w w:val="100"/>
          <w:sz w:val="23"/>
          <w:vertAlign w:val="baseline"/>
          <w:lang w:val="en-US"/>
        </w:rPr>
        <w:t xml:space="preserve">Vehicle &amp; Traffic Law § 1192(2).</w:t>
      </w:r>
    </w:p>
    <w:p>
      <w:pPr>
        <w:pageBreakBefore w:val="false"/>
        <w:spacing w:before="269" w:after="0" w:line="292" w:lineRule="exact"/>
        <w:ind w:right="0" w:left="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4 </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Vehicle &amp; Traffic Law § 1192(3).</w:t>
      </w:r>
    </w:p>
    <w:p>
      <w:pPr>
        <w:pageBreakBefore w:val="false"/>
        <w:spacing w:before="279" w:after="0" w:line="288" w:lineRule="exact"/>
        <w:ind w:right="0" w:left="0" w:firstLine="0"/>
        <w:jc w:val="left"/>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5 </w:t>
      </w:r>
      <w:r>
        <w:rPr>
          <w:rFonts w:ascii="Arial" w:hAnsi="Arial" w:eastAsia="Arial"/>
          <w:i w:val="true"/>
          <w:color w:val="000000"/>
          <w:spacing w:val="-1"/>
          <w:w w:val="100"/>
          <w:sz w:val="23"/>
          <w:vertAlign w:val="baseline"/>
          <w:lang w:val="en-US"/>
        </w:rPr>
        <w:t xml:space="preserve">See </w:t>
      </w:r>
      <w:r>
        <w:rPr>
          <w:rFonts w:ascii="Arial" w:hAnsi="Arial" w:eastAsia="Arial"/>
          <w:color w:val="000000"/>
          <w:spacing w:val="-1"/>
          <w:w w:val="100"/>
          <w:sz w:val="23"/>
          <w:vertAlign w:val="baseline"/>
          <w:lang w:val="en-US"/>
        </w:rPr>
        <w:t xml:space="preserve">Vehicle &amp; Traffic Law § 1192(4).</w:t>
      </w:r>
    </w:p>
    <w:p>
      <w:pPr>
        <w:sectPr>
          <w:type w:val="nextPage"/>
          <w:pgSz w:w="12240" w:h="15840" w:orient="portrait"/>
          <w:pgMar w:bottom="644" w:top="1080" w:right="2140" w:left="2160" w:header="720" w:footer="720"/>
          <w:titlePg w:val="false"/>
          <w:textDirection w:val="lrTb"/>
        </w:sectPr>
      </w:pPr>
    </w:p>
    <w:p>
      <w:pPr>
        <w:pageBreakBefore w:val="false"/>
        <w:tabs>
          <w:tab w:val="right" w:leader="none" w:pos="7920"/>
        </w:tabs>
        <w:spacing w:before="2" w:after="0" w:line="324"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while his or her ability to operate such a vehicle is</w:t>
      </w:r>
    </w:p>
    <w:p>
      <w:pPr>
        <w:pageBreakBefore w:val="false"/>
        <w:spacing w:before="0"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impaired by the combined influence of drugs or of alcohol and any drug or drugs.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by the combined influence of drugs or of alcohol and any drug or drugs], operates such motor vehicle in a manner that causes the death of a passenger in the vehicle who was fifteen years of age or less. </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25" w:after="0" w:line="324"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[The term “drug” used in this definition includes </w:t>
      </w:r>
      <w:r>
        <w:rPr>
          <w:rFonts w:ascii="Arial" w:hAnsi="Arial" w:eastAsia="Arial"/>
          <w:i w:val="true"/>
          <w:color w:val="000000"/>
          <w:spacing w:val="-3"/>
          <w:w w:val="100"/>
          <w:sz w:val="23"/>
          <w:u w:val="single"/>
          <w:vertAlign w:val="baseline"/>
          <w:lang w:val="en-US"/>
        </w:rPr>
        <w:t xml:space="preserve"> (specify) </w:t>
      </w:r>
      <w:r>
        <w:rPr>
          <w:rFonts w:ascii="Arial" w:hAnsi="Arial" w:eastAsia="Arial"/>
          <w:color w:val="000000"/>
          <w:spacing w:val="-3"/>
          <w:w w:val="100"/>
          <w:sz w:val="28"/>
          <w:vertAlign w:val="baseline"/>
          <w:lang w:val="en-US"/>
        </w:rPr>
        <w:t xml:space="preserve"> .]</w:t>
      </w:r>
      <w:r>
        <w:rPr>
          <w:rFonts w:ascii="Arial" w:hAnsi="Arial" w:eastAsia="Arial"/>
          <w:color w:val="000000"/>
          <w:spacing w:val="-3"/>
          <w:w w:val="100"/>
          <w:sz w:val="28"/>
          <w:vertAlign w:val="superscript"/>
          <w:lang w:val="en-US"/>
        </w:rPr>
        <w:t xml:space="preserve">8</w:t>
      </w:r>
      <w:r>
        <w:rPr>
          <w:rFonts w:ascii="Arial" w:hAnsi="Arial" w:eastAsia="Arial"/>
          <w:color w:val="000000"/>
          <w:spacing w:val="-3"/>
          <w:w w:val="100"/>
          <w:sz w:val="17"/>
          <w:vertAlign w:val="baseline"/>
          <w:lang w:val="en-US"/>
        </w:rPr>
        <w:t xml:space="preserve">
</w:t>
      </w:r>
    </w:p>
    <w:p>
      <w:pPr>
        <w:pageBreakBefore w:val="false"/>
        <w:spacing w:before="333"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t>
      </w:r>
      <w:r>
        <w:rPr>
          <w:rFonts w:ascii="Arial" w:hAnsi="Arial" w:eastAsia="Arial"/>
          <w:i w:val="true"/>
          <w:color w:val="000000"/>
          <w:spacing w:val="-3"/>
          <w:w w:val="100"/>
          <w:sz w:val="28"/>
          <w:vertAlign w:val="baseline"/>
          <w:lang w:val="en-US"/>
        </w:rPr>
        <w:t xml:space="preserve">NOTE: Here, either add the appropriate Vehicle and Traffic Law § 1192 charge or, if that Vehicle and Traffic Law provision has been separately charged to the jury, cross-reference the applicability of that charge to this crime.</w:t>
      </w:r>
      <w:r>
        <w:rPr>
          <w:rFonts w:ascii="Arial" w:hAnsi="Arial" w:eastAsia="Arial"/>
          <w:color w:val="000000"/>
          <w:spacing w:val="-3"/>
          <w:w w:val="100"/>
          <w:sz w:val="28"/>
          <w:vertAlign w:val="baseline"/>
          <w:lang w:val="en-US"/>
        </w:rPr>
        <w:t xml:space="preserve">]</w:t>
      </w:r>
    </w:p>
    <w:p>
      <w:pPr>
        <w:pageBreakBefore w:val="false"/>
        <w:spacing w:before="310" w:after="539"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if the People prove beyond a reasonable doubt that the defendant was operating a motor vehicle while unlawfully intoxicated [or impaired by the use of a drug, or by the combined influence of drugs or of alcohol and any drug or drugs] and while doing so caused the death of another person, then you may, but are not required to, infer that, as a result of such intoxication [or impairment by the use of a drug, or by the combined influence of drugs or of alcohol and any drug or drugs], the defendant operated the motor vehicle in a manner that caused such death.</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292" w:after="0" w:line="278" w:lineRule="exact"/>
        <w:ind w:right="0" w:left="0" w:firstLine="0"/>
        <w:jc w:val="left"/>
        <w:textAlignment w:val="baseline"/>
        <w:rPr>
          <w:rFonts w:ascii="Arial" w:hAnsi="Arial" w:eastAsia="Arial"/>
          <w:color w:val="000000"/>
          <w:spacing w:val="4"/>
          <w:w w:val="100"/>
          <w:sz w:val="17"/>
          <w:vertAlign w:val="baseline"/>
          <w:lang w:val="en-US"/>
        </w:rPr>
      </w:pPr>
      <w:r>
        <w:pict>
          <v:line strokeweight="0.95pt" strokecolor="#000000" from="108pt,518.9pt" to="252.05pt,518.9pt" style="position:absolute;mso-position-horizontal-relative:page;mso-position-vertical-relative:page;">
            <v:stroke dashstyle="solid"/>
          </v:line>
        </w:pict>
      </w:r>
      <w:r>
        <w:rPr>
          <w:rFonts w:ascii="Arial" w:hAnsi="Arial" w:eastAsia="Arial"/>
          <w:color w:val="000000"/>
          <w:spacing w:val="4"/>
          <w:w w:val="100"/>
          <w:sz w:val="17"/>
          <w:vertAlign w:val="baseline"/>
          <w:lang w:val="en-US"/>
        </w:rPr>
        <w:t xml:space="preserve">6 </w:t>
      </w:r>
      <w:r>
        <w:rPr>
          <w:rFonts w:ascii="Arial" w:hAnsi="Arial" w:eastAsia="Arial"/>
          <w:i w:val="true"/>
          <w:color w:val="000000"/>
          <w:spacing w:val="4"/>
          <w:w w:val="100"/>
          <w:sz w:val="24"/>
          <w:vertAlign w:val="baseline"/>
          <w:lang w:val="en-US"/>
        </w:rPr>
        <w:t xml:space="preserve">See </w:t>
      </w:r>
      <w:r>
        <w:rPr>
          <w:rFonts w:ascii="Arial" w:hAnsi="Arial" w:eastAsia="Arial"/>
          <w:color w:val="000000"/>
          <w:spacing w:val="4"/>
          <w:w w:val="100"/>
          <w:sz w:val="24"/>
          <w:vertAlign w:val="baseline"/>
          <w:lang w:val="en-US"/>
        </w:rPr>
        <w:t xml:space="preserve">Vehicle &amp; Traffic Law § 1192(4-a).</w:t>
      </w:r>
    </w:p>
    <w:p>
      <w:pPr>
        <w:pageBreakBefore w:val="false"/>
        <w:tabs>
          <w:tab w:val="right" w:leader="none" w:pos="7920"/>
        </w:tabs>
        <w:spacing w:before="282" w:after="0" w:line="278" w:lineRule="exact"/>
        <w:ind w:right="0" w:left="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7	</w:t>
      </w:r>
      <w:r>
        <w:rPr>
          <w:rFonts w:ascii="Arial" w:hAnsi="Arial" w:eastAsia="Arial"/>
          <w:color w:val="000000"/>
          <w:spacing w:val="0"/>
          <w:w w:val="100"/>
          <w:sz w:val="24"/>
          <w:vertAlign w:val="baseline"/>
          <w:lang w:val="en-US"/>
        </w:rPr>
        <w:t xml:space="preserve">The text of the statute contains two references to causing “the death of</w:t>
      </w:r>
    </w:p>
    <w:p>
      <w:pPr>
        <w:pageBreakBefore w:val="false"/>
        <w:spacing w:before="10" w:after="0" w:line="278"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another person.” In order to avoid redundancy and for clarity, the pattern charge contains one reference to such term.</w:t>
      </w:r>
    </w:p>
    <w:p>
      <w:pPr>
        <w:pageBreakBefore w:val="false"/>
        <w:spacing w:before="201" w:after="0" w:line="298" w:lineRule="exact"/>
        <w:ind w:right="0" w:left="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8 </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Vehicle &amp; Traffic Law § 114-a and Public Health Law § 3306.</w:t>
      </w:r>
    </w:p>
    <w:p>
      <w:pPr>
        <w:pageBreakBefore w:val="false"/>
        <w:spacing w:before="276" w:after="0" w:line="278" w:lineRule="exact"/>
        <w:ind w:right="0" w:left="0" w:firstLine="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9 </w:t>
      </w:r>
      <w:r>
        <w:rPr>
          <w:rFonts w:ascii="Arial" w:hAnsi="Arial" w:eastAsia="Arial"/>
          <w:color w:val="000000"/>
          <w:spacing w:val="0"/>
          <w:w w:val="100"/>
          <w:sz w:val="24"/>
          <w:vertAlign w:val="baseline"/>
          <w:lang w:val="en-US"/>
        </w:rPr>
        <w:t xml:space="preserve">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w:t>
      </w:r>
    </w:p>
    <w:p>
      <w:pPr>
        <w:pageBreakBefore w:val="false"/>
        <w:spacing w:before="246"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664" w:top="1080" w:right="2140" w:left="2160" w:header="720" w:footer="720"/>
          <w:titlePg w:val="false"/>
          <w:textDirection w:val="lrTb"/>
        </w:sectPr>
      </w:pPr>
    </w:p>
    <w:p>
      <w:pPr>
        <w:pageBreakBefore w:val="false"/>
        <w:spacing w:before="3"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1"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operated a motor vehicle:</w:t>
      </w:r>
    </w:p>
    <w:p>
      <w:pPr>
        <w:pageBreakBefore w:val="false"/>
        <w:spacing w:before="326" w:after="0" w:line="320"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0"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319" w:after="0" w:line="325" w:lineRule="exact"/>
        <w:ind w:right="0" w:left="144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while the defendant was in an intoxicated condition.</w:t>
      </w:r>
    </w:p>
    <w:p>
      <w:pPr>
        <w:pageBreakBefore w:val="false"/>
        <w:tabs>
          <w:tab w:val="left" w:leader="none" w:pos="2160"/>
        </w:tabs>
        <w:spacing w:before="325" w:after="0" w:line="325" w:lineRule="exact"/>
        <w:ind w:right="0" w:left="144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tabs>
          <w:tab w:val="left" w:leader="none" w:pos="2160"/>
        </w:tabs>
        <w:spacing w:before="316" w:after="0" w:line="325" w:lineRule="exact"/>
        <w:ind w:right="0" w:left="144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while his or her ability to operate such a vehicle was impaired by the combined influence of drugs or of alcohol and any drug or drugs;</w:t>
      </w:r>
    </w:p>
    <w:p>
      <w:pPr>
        <w:pageBreakBefore w:val="false"/>
        <w:numPr>
          <w:ilvl w:val="0"/>
          <w:numId w:val="1"/>
        </w:numPr>
        <w:tabs>
          <w:tab w:val="clear" w:pos="720"/>
          <w:tab w:val="left" w:pos="1440"/>
        </w:tabs>
        <w:spacing w:before="322"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operated the motor vehicle in a manner that caused the death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 passenger in the vehicle who was fifteen years of age or less; and</w:t>
      </w:r>
    </w:p>
    <w:p>
      <w:pPr>
        <w:pageBreakBefore w:val="false"/>
        <w:numPr>
          <w:ilvl w:val="0"/>
          <w:numId w:val="1"/>
        </w:numPr>
        <w:tabs>
          <w:tab w:val="clear" w:pos="720"/>
          <w:tab w:val="left" w:pos="1440"/>
        </w:tabs>
        <w:spacing w:before="323"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as a result of such intoxication [or impairment by the use of a drug, or by the combined influence of drugs or of alcohol and any drug or drugs].</w:t>
      </w:r>
    </w:p>
    <w:p>
      <w:pPr>
        <w:pageBreakBefore w:val="false"/>
        <w:spacing w:before="321" w:after="1076"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spacing w:before="321" w:after="1076" w:line="325" w:lineRule="exact"/>
        <w:sectPr>
          <w:type w:val="nextPage"/>
          <w:pgSz w:w="12240" w:h="15840" w:orient="portrait"/>
          <w:pgMar w:bottom="664" w:top="1080" w:right="2140" w:left="2160"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continuous"/>
          <w:pgSz w:w="12240" w:h="15840" w:orient="portrait"/>
          <w:pgMar w:bottom="664" w:top="1080" w:right="2147" w:left="2153" w:header="720" w:footer="720"/>
          <w:titlePg w:val="false"/>
          <w:textDirection w:val="lrTb"/>
        </w:sectPr>
      </w:pPr>
    </w:p>
    <w:p>
      <w:pPr>
        <w:pageBreakBefore w:val="false"/>
        <w:spacing w:before="2" w:after="12412"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2" w:after="12412" w:line="326" w:lineRule="exact"/>
        <w:sectPr>
          <w:type w:val="nextPage"/>
          <w:pgSz w:w="12240" w:h="15840" w:orient="portrait"/>
          <w:pgMar w:bottom="664" w:top="1080" w:right="2147" w:left="2153"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66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