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HOMICIDE</w:t>
        <w:br/>
      </w:r>
      <w:r>
        <w:rPr>
          <w:rFonts w:ascii="Arial" w:hAnsi="Arial" w:eastAsia="Arial"/>
          <w:b w:val="true"/>
          <w:color w:val="000000"/>
          <w:spacing w:val="0"/>
          <w:w w:val="100"/>
          <w:sz w:val="28"/>
          <w:vertAlign w:val="baseline"/>
          <w:lang w:val="en-US"/>
        </w:rPr>
        <w:t xml:space="preserve">(Reckless Driving; Vehicular Manslaughter;</w:t>
        <w:br/>
      </w:r>
      <w:r>
        <w:rPr>
          <w:rFonts w:ascii="Arial" w:hAnsi="Arial" w:eastAsia="Arial"/>
          <w:b w:val="true"/>
          <w:color w:val="000000"/>
          <w:spacing w:val="0"/>
          <w:w w:val="100"/>
          <w:sz w:val="28"/>
          <w:vertAlign w:val="baseline"/>
          <w:lang w:val="en-US"/>
        </w:rPr>
        <w:t xml:space="preserve">Prior VTL 1192 Within Ten Years)</w:t>
        <w:br/>
      </w:r>
      <w:r>
        <w:rPr>
          <w:rFonts w:ascii="Arial" w:hAnsi="Arial" w:eastAsia="Arial"/>
          <w:b w:val="true"/>
          <w:color w:val="000000"/>
          <w:spacing w:val="0"/>
          <w:w w:val="100"/>
          <w:sz w:val="28"/>
          <w:vertAlign w:val="baseline"/>
          <w:lang w:val="en-US"/>
        </w:rPr>
        <w:t xml:space="preserve">Penal Law § 125.14 (3)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601" w:after="0" w:line="278" w:lineRule="exact"/>
        <w:ind w:right="0" w:left="0" w:firstLine="720"/>
        <w:jc w:val="both"/>
        <w:textAlignment w:val="baseline"/>
        <w:rPr>
          <w:rFonts w:ascii="Arial" w:hAnsi="Arial" w:eastAsia="Arial"/>
          <w:b w:val="true"/>
          <w:i w:val="true"/>
          <w:color w:val="000000"/>
          <w:spacing w:val="0"/>
          <w:w w:val="100"/>
          <w:sz w:val="24"/>
          <w:vertAlign w:val="baseline"/>
          <w:lang w:val="en-US"/>
        </w:rPr>
      </w:pPr>
      <w:r>
        <w:rPr>
          <w:rFonts w:ascii="Arial" w:hAnsi="Arial" w:eastAsia="Arial"/>
          <w:b w:val="true"/>
          <w:i w:val="true"/>
          <w:color w:val="000000"/>
          <w:spacing w:val="0"/>
          <w:w w:val="100"/>
          <w:sz w:val="24"/>
          <w:vertAlign w:val="baseline"/>
          <w:lang w:val="en-US"/>
        </w:rPr>
        <w:t xml:space="preserve">Note</w:t>
      </w:r>
      <w:r>
        <w:rPr>
          <w:rFonts w:ascii="Arial" w:hAnsi="Arial" w:eastAsia="Arial"/>
          <w:i w:val="true"/>
          <w:color w:val="000000"/>
          <w:spacing w:val="0"/>
          <w:w w:val="100"/>
          <w:sz w:val="24"/>
          <w:vertAlign w:val="baseline"/>
          <w:lang w:val="en-US"/>
        </w:rPr>
        <w:t xml:space="preserve">: Subdivision three of Penal Law § 125.14 requires commission of Reckless Driving, Vehicular Manslaughter in the Second Degree and the element that the defendant has been previously convicted of violating any of the provisions of section eleven hundred ninety-two of the vehicle and traffic law (or a conviction in any other state or jurisdiction for an offense which, if committed in this state, would constitute a violation of section eleven hundred ninety-two of the vehicle and traffic law) within the preceding ten years. That latter element is subject to the procedure set forth in CPL 200.60.</w:t>
      </w:r>
    </w:p>
    <w:p>
      <w:pPr>
        <w:pageBreakBefore w:val="false"/>
        <w:spacing w:before="0" w:after="0" w:line="278"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That procedure requires that the element related to the defendant’s prior conviction be alleged in a special information.</w:t>
      </w:r>
    </w:p>
    <w:p>
      <w:pPr>
        <w:pageBreakBefore w:val="false"/>
        <w:spacing w:before="1" w:after="0" w:line="278"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If, upon arraignment on the special information, the defendant admits the prior conviction, the court must not make any reference to the conviction in the definition of the crime or in the listing of elements.</w:t>
      </w:r>
    </w:p>
    <w:p>
      <w:pPr>
        <w:pageBreakBefore w:val="false"/>
        <w:spacing w:before="7" w:after="0" w:line="278" w:lineRule="exact"/>
        <w:ind w:right="0" w:left="0" w:firstLine="720"/>
        <w:jc w:val="both"/>
        <w:textAlignment w:val="baseline"/>
        <w:rPr>
          <w:rFonts w:ascii="Arial" w:hAnsi="Arial" w:eastAsia="Arial"/>
          <w:i w:val="true"/>
          <w:color w:val="000000"/>
          <w:spacing w:val="-1"/>
          <w:w w:val="100"/>
          <w:sz w:val="24"/>
          <w:vertAlign w:val="baseline"/>
          <w:lang w:val="en-US"/>
        </w:rPr>
      </w:pPr>
      <w:r>
        <w:rPr>
          <w:rFonts w:ascii="Arial" w:hAnsi="Arial" w:eastAsia="Arial"/>
          <w:i w:val="true"/>
          <w:color w:val="000000"/>
          <w:spacing w:val="-1"/>
          <w:w w:val="100"/>
          <w:sz w:val="24"/>
          <w:vertAlign w:val="baseline"/>
          <w:lang w:val="en-US"/>
        </w:rPr>
        <w:t xml:space="preserve">But, if the defendant denies the prior conviction or remains mute, the court must add the prior conviction element to the definition of the crime and the list of elements. See People v Cooper, 78 NY2d 476, 479 (1991)(In a Vehicular Manslaughter case, CPL 200.60 required the special information to plead both defendant’s prior conviction and that he knew that the conviction resulted in revocation of his license); People v. Burgess, 89 AD3d 1100 (2d Dept, 2011)(The defendant’s admission to a special information that he was previously convicted of driving while intoxicated, that his license was accordingly revoked, and that his license remained revoked as of the date of the alleged crimes relieved the People of their burden of proving those elements, and granted the defendant the protection afforded by CPL 200.60."); People v Alshoaibi, 273 AD2d 871, 872 (4</w:t>
      </w:r>
      <w:r>
        <w:rPr>
          <w:rFonts w:ascii="Arial" w:hAnsi="Arial" w:eastAsia="Arial"/>
          <w:i w:val="true"/>
          <w:color w:val="000000"/>
          <w:spacing w:val="-1"/>
          <w:w w:val="100"/>
          <w:sz w:val="24"/>
          <w:vertAlign w:val="superscript"/>
          <w:lang w:val="en-US"/>
        </w:rPr>
        <w:t xml:space="preserve">th</w:t>
      </w:r>
      <w:r>
        <w:rPr>
          <w:rFonts w:ascii="Arial" w:hAnsi="Arial" w:eastAsia="Arial"/>
          <w:i w:val="true"/>
          <w:color w:val="000000"/>
          <w:spacing w:val="-1"/>
          <w:w w:val="100"/>
          <w:sz w:val="24"/>
          <w:vertAlign w:val="baseline"/>
          <w:lang w:val="en-US"/>
        </w:rPr>
        <w:t xml:space="preserve"> Dept 2000)("CPL 200.60 applies both to convictions and conviction-related facts."); People v Orlen, 170 Misc 2d 737 (Nassau County Court 1996)(CPL 200.60 applies to a suspension or revocation based upon a refusal to submit to a chemical test), cited by People v Alshoaibi, 273 AD2d at 872, supra, in support of its decision.</w:t>
      </w:r>
    </w:p>
    <w:p>
      <w:pPr>
        <w:pageBreakBefore w:val="false"/>
        <w:spacing w:before="1" w:after="0" w:line="278"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This charge assumes the defendant has admitted the element recited in the CPL 200.60 special information. If not, the Court must read the element in the definition of this charge, and add the element to the list of elements to be proven beyond a reasonable doubt.</w:t>
      </w:r>
    </w:p>
    <w:p>
      <w:pPr>
        <w:sectPr>
          <w:type w:val="nextPage"/>
          <w:pgSz w:w="12240" w:h="15840" w:orient="portrait"/>
          <w:pgMar w:bottom="1984" w:top="1440" w:right="2105" w:left="2155" w:header="720" w:footer="720"/>
          <w:titlePg w:val="false"/>
          <w:textDirection w:val="lrTb"/>
        </w:sectPr>
      </w:pPr>
    </w:p>
    <w:p>
      <w:pPr>
        <w:pageBreakBefore w:val="false"/>
        <w:spacing w:before="8"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Homicide.</w:t>
      </w:r>
    </w:p>
    <w:p>
      <w:pPr>
        <w:pageBreakBefore w:val="false"/>
        <w:spacing w:before="344" w:after="0" w:line="318" w:lineRule="exact"/>
        <w:ind w:right="0" w:left="0" w:firstLine="864"/>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Homicide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Manslaughter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6"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7" w:after="460" w:line="319" w:lineRule="exact"/>
        <w:ind w:right="0" w:left="720" w:firstLine="0"/>
        <w:jc w:val="both"/>
        <w:textAlignment w:val="baseline"/>
        <w:rPr>
          <w:rFonts w:ascii="Arial" w:hAnsi="Arial" w:eastAsia="Arial"/>
          <w:color w:val="000000"/>
          <w:spacing w:val="8"/>
          <w:w w:val="100"/>
          <w:sz w:val="28"/>
          <w:vertAlign w:val="baseline"/>
          <w:lang w:val="en-US"/>
        </w:rPr>
      </w:pPr>
      <w:r>
        <w:rPr>
          <w:rFonts w:ascii="Arial" w:hAnsi="Arial" w:eastAsia="Arial"/>
          <w:color w:val="000000"/>
          <w:spacing w:val="8"/>
          <w:w w:val="100"/>
          <w:sz w:val="28"/>
          <w:vertAlign w:val="baseline"/>
          <w:lang w:val="en-US"/>
        </w:rPr>
        <w:t xml:space="preserve">Intoxication, absent more, does not establish reckless</w:t>
      </w:r>
    </w:p>
    <w:p>
      <w:pPr>
        <w:pageBreakBefore w:val="false"/>
        <w:spacing w:before="258" w:after="0" w:line="292"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6.75pt,371.75pt" to="252.05pt,371.7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46" w:after="0" w:line="292"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125.12 of this article.”</w:t>
      </w:r>
    </w:p>
    <w:p>
      <w:pPr>
        <w:pageBreakBefore w:val="false"/>
        <w:spacing w:before="235" w:after="0" w:line="292"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28" w:after="0" w:line="292"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38"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25" w:left="2135"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driving. One can engage in reckless driving without being 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2"/>
          <w:w w:val="100"/>
          <w:sz w:val="28"/>
          <w:vertAlign w:val="superscript"/>
          <w:lang w:val="en-US"/>
        </w:rPr>
        <w:t xml:space="preserve">5</w:t>
      </w:r>
      <w:r>
        <w:rPr>
          <w:rFonts w:ascii="Arial" w:hAnsi="Arial" w:eastAsia="Arial"/>
          <w:color w:val="000000"/>
          <w:spacing w:val="-2"/>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commits the crime of VEHICULAR MANSLAUGHTER IN THE SECOND DEGREE when he or she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operates a motor vehicle</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9"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2"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has .08 of one per centum or more by weight of alcohol in his or her blood as shown by chemical</w:t>
      </w:r>
    </w:p>
    <w:p>
      <w:pPr>
        <w:pageBreakBefore w:val="false"/>
        <w:spacing w:before="0" w:after="0" w:line="32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24" w:after="366"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is in an intoxicated condition.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262" w:after="0" w:line="289"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6.75pt,431.75pt" to="252.05pt,431.7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5</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57" w:after="0" w:line="28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color w:val="000000"/>
          <w:spacing w:val="0"/>
          <w:w w:val="100"/>
          <w:sz w:val="24"/>
          <w:vertAlign w:val="baseline"/>
          <w:lang w:val="en-US"/>
        </w:rPr>
        <w:t xml:space="preserve"> At this point the statute states "causes the death of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249" w:after="0" w:line="28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45" w:after="0" w:line="289" w:lineRule="exact"/>
        <w:ind w:right="0" w:left="720" w:firstLine="0"/>
        <w:jc w:val="left"/>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8</w:t>
      </w:r>
      <w:r>
        <w:rPr>
          <w:rFonts w:ascii="Arial" w:hAnsi="Arial" w:eastAsia="Arial"/>
          <w:color w:val="000000"/>
          <w:spacing w:val="2"/>
          <w:w w:val="100"/>
          <w:sz w:val="24"/>
          <w:vertAlign w:val="baseline"/>
          <w:lang w:val="en-US"/>
        </w:rPr>
        <w:t xml:space="preserve"> Vehicle &amp; Traffic Law § 1192 (2).</w:t>
      </w:r>
    </w:p>
    <w:p>
      <w:pPr>
        <w:pageBreakBefore w:val="false"/>
        <w:spacing w:before="249" w:after="0" w:line="289" w:lineRule="exact"/>
        <w:ind w:right="0" w:left="720" w:firstLine="0"/>
        <w:jc w:val="left"/>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9</w:t>
      </w:r>
      <w:r>
        <w:rPr>
          <w:rFonts w:ascii="Arial" w:hAnsi="Arial" w:eastAsia="Arial"/>
          <w:color w:val="000000"/>
          <w:spacing w:val="2"/>
          <w:w w:val="100"/>
          <w:sz w:val="24"/>
          <w:vertAlign w:val="baseline"/>
          <w:lang w:val="en-US"/>
        </w:rPr>
        <w:t xml:space="preserve"> Vehicle &amp; Traffic Law § 1192 (3).</w:t>
      </w:r>
    </w:p>
    <w:p>
      <w:pPr>
        <w:pageBreakBefore w:val="false"/>
        <w:spacing w:before="247"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25" w:left="2135" w:header="720" w:footer="720"/>
          <w:titlePg w:val="false"/>
          <w:textDirection w:val="lrTb"/>
        </w:sectPr>
      </w:pPr>
    </w:p>
    <w:p>
      <w:pPr>
        <w:pageBreakBefore w:val="false"/>
        <w:spacing w:before="30" w:after="0" w:line="31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the death of another person.</w:t>
      </w:r>
    </w:p>
    <w:p>
      <w:pPr>
        <w:pageBreakBefore w:val="false"/>
        <w:spacing w:before="319" w:after="0" w:line="324"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12</w:t>
      </w:r>
      <w:r>
        <w:rPr>
          <w:rFonts w:ascii="Arial" w:hAnsi="Arial" w:eastAsia="Arial"/>
          <w:color w:val="000000"/>
          <w:spacing w:val="-2"/>
          <w:w w:val="100"/>
          <w:sz w:val="28"/>
          <w:vertAlign w:val="baseline"/>
          <w:lang w:val="en-US"/>
        </w:rPr>
        <w:t xml:space="preserve">).]</w:t>
      </w:r>
    </w:p>
    <w:p>
      <w:pPr>
        <w:pageBreakBefore w:val="false"/>
        <w:spacing w:before="656" w:after="0" w:line="323"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18" w:after="448"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the death of another person, then you may, but are not required to, infer that, as a result of such intoxication or impairment, such person operated the motor vehicle in a manner that caused the death of another person.</w:t>
      </w:r>
      <w:r>
        <w:rPr>
          <w:rFonts w:ascii="Arial" w:hAnsi="Arial" w:eastAsia="Arial"/>
          <w:color w:val="000000"/>
          <w:spacing w:val="-2"/>
          <w:w w:val="100"/>
          <w:sz w:val="28"/>
          <w:vertAlign w:val="superscript"/>
          <w:lang w:val="en-US"/>
        </w:rPr>
        <w:t xml:space="preserve">13</w:t>
      </w:r>
      <w:r>
        <w:rPr>
          <w:rFonts w:ascii="Arial" w:hAnsi="Arial" w:eastAsia="Arial"/>
          <w:color w:val="000000"/>
          <w:spacing w:val="-2"/>
          <w:w w:val="100"/>
          <w:sz w:val="17"/>
          <w:vertAlign w:val="baseline"/>
          <w:lang w:val="en-US"/>
        </w:rPr>
        <w:t xml:space="preserve">
</w:t>
      </w:r>
    </w:p>
    <w:p>
      <w:pPr>
        <w:pageBreakBefore w:val="false"/>
        <w:spacing w:before="286" w:after="0" w:line="277" w:lineRule="exact"/>
        <w:ind w:right="0" w:left="720" w:firstLine="0"/>
        <w:jc w:val="left"/>
        <w:textAlignment w:val="baseline"/>
        <w:rPr>
          <w:rFonts w:ascii="Arial" w:hAnsi="Arial" w:eastAsia="Arial"/>
          <w:color w:val="000000"/>
          <w:spacing w:val="3"/>
          <w:w w:val="100"/>
          <w:sz w:val="16"/>
          <w:vertAlign w:val="superscript"/>
          <w:lang w:val="en-US"/>
        </w:rPr>
      </w:pPr>
      <w:r>
        <w:pict>
          <v:line strokeweight="1.2pt" strokecolor="#000000" from="107pt,563.5pt" to="252.05pt,563.5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10</w:t>
      </w:r>
      <w:r>
        <w:rPr>
          <w:rFonts w:ascii="Arial" w:hAnsi="Arial" w:eastAsia="Arial"/>
          <w:color w:val="000000"/>
          <w:spacing w:val="3"/>
          <w:w w:val="100"/>
          <w:sz w:val="24"/>
          <w:vertAlign w:val="baseline"/>
          <w:lang w:val="en-US"/>
        </w:rPr>
        <w:t xml:space="preserve"> Vehicle &amp; Traffic Law § 1192 (4)</w:t>
      </w:r>
      <w:r>
        <w:rPr>
          <w:rFonts w:ascii="Arial" w:hAnsi="Arial" w:eastAsia="Arial"/>
          <w:color w:val="000000"/>
          <w:spacing w:val="3"/>
          <w:w w:val="100"/>
          <w:sz w:val="26"/>
          <w:vertAlign w:val="baseline"/>
          <w:lang w:val="en-US"/>
        </w:rPr>
        <w:t xml:space="preserve">.</w:t>
      </w:r>
    </w:p>
    <w:p>
      <w:pPr>
        <w:pageBreakBefore w:val="false"/>
        <w:spacing w:before="262" w:after="0" w:line="277" w:lineRule="exact"/>
        <w:ind w:right="0" w:left="720" w:firstLine="0"/>
        <w:jc w:val="left"/>
        <w:textAlignment w:val="baseline"/>
        <w:rPr>
          <w:rFonts w:ascii="Arial" w:hAnsi="Arial" w:eastAsia="Arial"/>
          <w:color w:val="000000"/>
          <w:spacing w:val="3"/>
          <w:w w:val="100"/>
          <w:sz w:val="16"/>
          <w:vertAlign w:val="superscript"/>
          <w:lang w:val="en-US"/>
        </w:rPr>
      </w:pPr>
      <w:r>
        <w:rPr>
          <w:rFonts w:ascii="Arial" w:hAnsi="Arial" w:eastAsia="Arial"/>
          <w:color w:val="000000"/>
          <w:spacing w:val="3"/>
          <w:w w:val="100"/>
          <w:sz w:val="16"/>
          <w:vertAlign w:val="superscript"/>
          <w:lang w:val="en-US"/>
        </w:rPr>
        <w:t xml:space="preserve">11</w:t>
      </w:r>
      <w:r>
        <w:rPr>
          <w:rFonts w:ascii="Arial" w:hAnsi="Arial" w:eastAsia="Arial"/>
          <w:color w:val="000000"/>
          <w:spacing w:val="3"/>
          <w:w w:val="100"/>
          <w:sz w:val="24"/>
          <w:vertAlign w:val="baseline"/>
          <w:lang w:val="en-US"/>
        </w:rPr>
        <w:t xml:space="preserve"> Vehicle &amp; Traffic Law § 1192 (4-a)</w:t>
      </w:r>
      <w:r>
        <w:rPr>
          <w:rFonts w:ascii="Arial" w:hAnsi="Arial" w:eastAsia="Arial"/>
          <w:color w:val="000000"/>
          <w:spacing w:val="3"/>
          <w:w w:val="100"/>
          <w:sz w:val="26"/>
          <w:vertAlign w:val="baseline"/>
          <w:lang w:val="en-US"/>
        </w:rPr>
        <w:t xml:space="preserve">.</w:t>
      </w:r>
    </w:p>
    <w:p>
      <w:pPr>
        <w:pageBreakBefore w:val="false"/>
        <w:spacing w:before="229" w:after="0" w:line="277" w:lineRule="exact"/>
        <w:ind w:right="0" w:left="720" w:firstLine="0"/>
        <w:jc w:val="left"/>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12</w:t>
      </w:r>
      <w:r>
        <w:rPr>
          <w:rFonts w:ascii="Arial" w:hAnsi="Arial" w:eastAsia="Arial"/>
          <w:color w:val="000000"/>
          <w:spacing w:val="2"/>
          <w:w w:val="100"/>
          <w:sz w:val="24"/>
          <w:vertAlign w:val="baseline"/>
          <w:lang w:val="en-US"/>
        </w:rPr>
        <w:t xml:space="preserve"> Vehicle &amp; Traffic Law §114-a and Public Health Law § 3306.</w:t>
      </w:r>
    </w:p>
    <w:p>
      <w:pPr>
        <w:pageBreakBefore w:val="false"/>
        <w:spacing w:before="245"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w:t>
      </w:r>
    </w:p>
    <w:p>
      <w:pPr>
        <w:pageBreakBefore w:val="false"/>
        <w:spacing w:before="23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400" w:right="2120" w:left="2140" w:header="720" w:footer="720"/>
          <w:titlePg w:val="false"/>
          <w:textDirection w:val="lrTb"/>
        </w:sectPr>
      </w:pPr>
    </w:p>
    <w:p>
      <w:pPr>
        <w:pageBreakBefore w:val="false"/>
        <w:spacing w:before="0" w:after="0" w:line="326" w:lineRule="exact"/>
        <w:ind w:right="0" w:left="0" w:firstLine="792"/>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288"/>
          <w:tab w:val="left" w:pos="1080"/>
        </w:tabs>
        <w:spacing w:before="324"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288"/>
          <w:tab w:val="left" w:pos="1080"/>
        </w:tabs>
        <w:spacing w:before="326" w:after="0" w:line="317"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w:t>
      </w:r>
    </w:p>
    <w:p>
      <w:pPr>
        <w:pageBreakBefore w:val="false"/>
        <w:spacing w:before="331"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0"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26" w:after="0" w:line="31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32"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2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numPr>
          <w:ilvl w:val="0"/>
          <w:numId w:val="1"/>
        </w:numPr>
        <w:tabs>
          <w:tab w:val="clear" w:pos="288"/>
          <w:tab w:val="left" w:pos="1080"/>
        </w:tabs>
        <w:spacing w:before="336" w:after="599" w:line="321"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as a result of such intoxication [or impairment by the use of a drug, or impairment by the combined influence of drugs or of alcohol and any drug or drugs], the defendant operated such motor vehicle in a manner that causes the death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28"/>
          <w:vertAlign w:val="baseline"/>
          <w:lang w:val="en-US"/>
        </w:rPr>
        <w:t xml:space="preserve">]</w:t>
      </w:r>
    </w:p>
    <w:p>
      <w:pPr>
        <w:pageBreakBefore w:val="false"/>
        <w:spacing w:before="256" w:after="0" w:line="276" w:lineRule="exact"/>
        <w:ind w:right="0" w:left="0" w:firstLine="0"/>
        <w:jc w:val="both"/>
        <w:textAlignment w:val="baseline"/>
        <w:rPr>
          <w:rFonts w:ascii="Arial" w:hAnsi="Arial" w:eastAsia="Arial"/>
          <w:color w:val="000000"/>
          <w:spacing w:val="0"/>
          <w:w w:val="100"/>
          <w:sz w:val="24"/>
          <w:vertAlign w:val="baseline"/>
          <w:lang w:val="en-US"/>
        </w:rPr>
      </w:pPr>
      <w:r>
        <w:pict>
          <v:line strokeweight="1.2pt" strokecolor="#000000" from="106.85pt,587.05pt" to="252.05pt,587.0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9" w:after="0" w:line="295" w:lineRule="exact"/>
        <w:ind w:right="0" w:left="0" w:firstLine="792"/>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If the defendant did not admit the additional elements set forth in the special information, those elements need to be added to this list of elements.</w:t>
      </w:r>
    </w:p>
    <w:p>
      <w:pPr>
        <w:pageBreakBefore w:val="false"/>
        <w:spacing w:before="24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024" w:top="1080" w:right="2123" w:left="2137" w:header="720" w:footer="720"/>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10813"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8" w:after="10813" w:line="326" w:lineRule="exact"/>
        <w:sectPr>
          <w:type w:val="nextPage"/>
          <w:pgSz w:w="12240" w:h="15840" w:orient="portrait"/>
          <w:pgMar w:bottom="1024" w:top="1080" w:right="2125" w:left="213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continuous"/>
      <w:pgSz w:w="12240" w:h="15840" w:orient="portrait"/>
      <w:pgMar w:bottom="1024" w:top="1080" w:right="2130"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