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MURDER</w:t>
        <w:br/>
      </w:r>
      <w:r>
        <w:rPr>
          <w:rFonts w:ascii="Arial" w:hAnsi="Arial" w:eastAsia="Arial"/>
          <w:b w:val="true"/>
          <w:color w:val="000000"/>
          <w:spacing w:val="0"/>
          <w:w w:val="100"/>
          <w:sz w:val="28"/>
          <w:vertAlign w:val="baseline"/>
          <w:lang w:val="en-US"/>
        </w:rPr>
        <w:t xml:space="preserve">(Child)</w:t>
        <w:br/>
      </w:r>
      <w:r>
        <w:rPr>
          <w:rFonts w:ascii="Arial" w:hAnsi="Arial" w:eastAsia="Arial"/>
          <w:b w:val="true"/>
          <w:color w:val="000000"/>
          <w:spacing w:val="0"/>
          <w:w w:val="100"/>
          <w:sz w:val="28"/>
          <w:vertAlign w:val="baseline"/>
          <w:lang w:val="en-US"/>
        </w:rPr>
        <w:t xml:space="preserve">Penal Law § 125.26(2)</w:t>
        <w:br/>
      </w:r>
      <w:r>
        <w:rPr>
          <w:rFonts w:ascii="Arial" w:hAnsi="Arial" w:eastAsia="Arial"/>
          <w:b w:val="true"/>
          <w:color w:val="000000"/>
          <w:spacing w:val="0"/>
          <w:w w:val="100"/>
          <w:sz w:val="28"/>
          <w:vertAlign w:val="baseline"/>
          <w:lang w:val="en-US"/>
        </w:rPr>
        <w:t xml:space="preserve">(Committed on or after Oct. 9, 2009)</w:t>
      </w:r>
    </w:p>
    <w:p>
      <w:pPr>
        <w:pageBreakBefore w:val="false"/>
        <w:spacing w:before="320" w:after="0" w:line="327"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Murder.</w:t>
      </w:r>
    </w:p>
    <w:p>
      <w:pPr>
        <w:pageBreakBefore w:val="false"/>
        <w:spacing w:before="300"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Murder when, with intent to cause the death of a person less than fourteen years old, he or she causes the death of such person, and the defendant acted in an especially cruel and wanton manner pursuant to a course of conduct intended to inflict and inflicting torture upon the victim prior to the victim's death, and the defendant was more than eighteen years old at the time of the commission of the crime.</w:t>
      </w:r>
    </w:p>
    <w:p>
      <w:pPr>
        <w:pageBreakBefore w:val="false"/>
        <w:spacing w:before="342" w:after="0" w:line="31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1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cause the death of another person when his or her conscious objective or purpose is to cause the death of that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TORTURE means the intentional and depraved infliction of extreme physical pain that is separate and apart from the pain which otherwise would have been associated with such cause of death.</w:t>
      </w:r>
    </w:p>
    <w:p>
      <w:pPr>
        <w:pageBreakBefore w:val="false"/>
        <w:spacing w:before="315" w:after="0" w:line="327"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tabs>
          <w:tab w:val="right" w:leader="none" w:pos="7920"/>
        </w:tabs>
        <w:spacing w:before="417"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w:t>
      </w:r>
      <w:r>
        <w:rPr>
          <w:rFonts w:ascii="Arial" w:hAnsi="Arial" w:eastAsia="Arial"/>
          <w:color w:val="000000"/>
          <w:spacing w:val="0"/>
          <w:w w:val="115"/>
          <w:sz w:val="36"/>
          <w:vertAlign w:val="baseline"/>
          <w:lang w:val="en-US"/>
        </w:rPr>
        <w:t xml:space="preserve">.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w:t>
      </w:r>
    </w:p>
    <w:p>
      <w:pPr>
        <w:pageBreakBefore w:val="false"/>
        <w:spacing w:before="0" w:after="327" w:line="322" w:lineRule="exact"/>
        <w:ind w:right="0" w:left="0" w:firstLine="0"/>
        <w:jc w:val="righ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defendant, </w:t>
      </w:r>
      <w:r>
        <w:rPr>
          <w:rFonts w:ascii="Arial" w:hAnsi="Arial" w:eastAsia="Arial"/>
          <w:i w:val="true"/>
          <w:color w:val="000000"/>
          <w:spacing w:val="5"/>
          <w:w w:val="100"/>
          <w:sz w:val="23"/>
          <w:u w:val="single"/>
          <w:vertAlign w:val="baseline"/>
          <w:lang w:val="en-US"/>
        </w:rPr>
        <w:t xml:space="preserve"> (defendant's name) </w:t>
      </w:r>
      <w:r>
        <w:rPr>
          <w:rFonts w:ascii="Arial" w:hAnsi="Arial" w:eastAsia="Arial"/>
          <w:color w:val="000000"/>
          <w:spacing w:val="5"/>
          <w:w w:val="100"/>
          <w:sz w:val="28"/>
          <w:vertAlign w:val="baseline"/>
          <w:lang w:val="en-US"/>
        </w:rPr>
        <w:t xml:space="preserve"> , caused the death of</w:t>
      </w:r>
    </w:p>
    <w:p>
      <w:pPr>
        <w:pageBreakBefore w:val="false"/>
        <w:spacing w:before="253" w:after="0" w:line="276" w:lineRule="exact"/>
        <w:ind w:right="216" w:left="0" w:firstLine="216"/>
        <w:jc w:val="both"/>
        <w:textAlignment w:val="baseline"/>
        <w:rPr>
          <w:rFonts w:ascii="Arial" w:hAnsi="Arial" w:eastAsia="Arial"/>
          <w:color w:val="000000"/>
          <w:spacing w:val="0"/>
          <w:w w:val="100"/>
          <w:sz w:val="14"/>
          <w:vertAlign w:val="superscript"/>
          <w:lang w:val="en-US"/>
        </w:rPr>
      </w:pPr>
      <w:r>
        <w:pict>
          <v:line strokeweight="0.95pt" strokecolor="#000000" from="108pt,644.9pt" to="252.05pt,644.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If causation, "death," or “person” is in issue, see Additional Charges at the end of this article.</w:t>
      </w:r>
    </w:p>
    <w:p>
      <w:pPr>
        <w:pageBreakBefore w:val="false"/>
        <w:spacing w:before="242" w:after="0" w:line="276" w:lineRule="exact"/>
        <w:ind w:right="216" w:left="0" w:firstLine="216"/>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 If necessary, an expanded definition of “intent” is available in the section on Instructions of General Applicability under Culpable Mental States.</w:t>
      </w:r>
    </w:p>
    <w:p>
      <w:pPr>
        <w:sectPr>
          <w:type w:val="nextPage"/>
          <w:pgSz w:w="12240" w:h="15840" w:orient="portrait"/>
          <w:pgMar w:bottom="664" w:top="1080" w:right="2140" w:left="2160" w:header="720" w:footer="720"/>
          <w:titlePg w:val="false"/>
          <w:textDirection w:val="lrTb"/>
        </w:sectPr>
      </w:pPr>
    </w:p>
    <w:p>
      <w:pPr>
        <w:pageBreakBefore w:val="false"/>
        <w:spacing w:before="8" w:after="0" w:line="319" w:lineRule="exact"/>
        <w:ind w:right="72" w:left="1440" w:firstLine="0"/>
        <w:jc w:val="left"/>
        <w:textAlignment w:val="baseline"/>
        <w:rPr>
          <w:rFonts w:ascii="Arial" w:hAnsi="Arial" w:eastAsia="Arial"/>
          <w:i w:val="true"/>
          <w:color w:val="000000"/>
          <w:spacing w:val="-1"/>
          <w:w w:val="100"/>
          <w:sz w:val="23"/>
          <w:u w:val="single"/>
          <w:vertAlign w:val="baseline"/>
          <w:lang w:val="en-US"/>
        </w:rPr>
      </w:pPr>
      <w:r>
        <w:rPr>
          <w:rFonts w:ascii="Arial" w:hAnsi="Arial" w:eastAsia="Arial"/>
          <w:i w:val="true"/>
          <w:color w:val="000000"/>
          <w:spacing w:val="-1"/>
          <w:w w:val="100"/>
          <w:sz w:val="23"/>
          <w:u w:val="single"/>
          <w:vertAlign w:val="baseline"/>
          <w:lang w:val="en-US"/>
        </w:rPr>
        <w:t xml:space="preserve">(Specify </w:t>
      </w:r>
      <w:r>
        <w:rPr>
          <w:rFonts w:ascii="Arial" w:hAnsi="Arial" w:eastAsia="Arial"/>
          <w:color w:val="000000"/>
          <w:spacing w:val="-1"/>
          <w:w w:val="100"/>
          <w:sz w:val="28"/>
          <w:vertAlign w:val="baseline"/>
          <w:lang w:val="en-US"/>
        </w:rPr>
        <w:t xml:space="preserve"> ), a person less than fourteen years old;</w:t>
      </w:r>
    </w:p>
    <w:p>
      <w:pPr>
        <w:pageBreakBefore w:val="false"/>
        <w:numPr>
          <w:ilvl w:val="0"/>
          <w:numId w:val="1"/>
        </w:numPr>
        <w:tabs>
          <w:tab w:val="clear" w:pos="720"/>
          <w:tab w:val="left" w:pos="1440"/>
        </w:tabs>
        <w:spacing w:before="331" w:after="0" w:line="322"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3"/>
          <w:u w:val="single"/>
          <w:vertAlign w:val="baseline"/>
          <w:lang w:val="en-US"/>
        </w:rPr>
        <w:t xml:space="preserve">(Specify)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417"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acted in an especially cruel and wanton manner pursuant to a course of conduct intended to inflict, and inflicting, torture upon </w:t>
      </w:r>
      <w:r>
        <w:rPr>
          <w:rFonts w:ascii="Arial" w:hAnsi="Arial" w:eastAsia="Arial"/>
          <w:i w:val="true"/>
          <w:color w:val="000000"/>
          <w:spacing w:val="0"/>
          <w:w w:val="100"/>
          <w:sz w:val="23"/>
          <w:u w:val="single"/>
          <w:vertAlign w:val="baseline"/>
          <w:lang w:val="en-US"/>
        </w:rPr>
        <w:t xml:space="preserve">(Specify) </w:t>
      </w:r>
      <w:r>
        <w:rPr>
          <w:rFonts w:ascii="Arial" w:hAnsi="Arial" w:eastAsia="Arial"/>
          <w:i w:val="true"/>
          <w:color w:val="000000"/>
          <w:spacing w:val="0"/>
          <w:w w:val="100"/>
          <w:sz w:val="23"/>
          <w:vertAlign w:val="baseline"/>
          <w:lang w:val="en-US"/>
        </w:rPr>
        <w:t xml:space="preserve"> </w:t>
      </w:r>
      <w:r>
        <w:rPr>
          <w:rFonts w:ascii="Arial" w:hAnsi="Arial" w:eastAsia="Arial"/>
          <w:color w:val="000000"/>
          <w:spacing w:val="0"/>
          <w:w w:val="100"/>
          <w:sz w:val="28"/>
          <w:vertAlign w:val="baseline"/>
          <w:lang w:val="en-US"/>
        </w:rPr>
        <w:t xml:space="preserve">prior to </w:t>
      </w:r>
      <w:r>
        <w:rPr>
          <w:rFonts w:ascii="Arial" w:hAnsi="Arial" w:eastAsia="Arial"/>
          <w:i w:val="true"/>
          <w:color w:val="000000"/>
          <w:spacing w:val="0"/>
          <w:w w:val="100"/>
          <w:sz w:val="23"/>
          <w:u w:val="single"/>
          <w:vertAlign w:val="baseline"/>
          <w:lang w:val="en-US"/>
        </w:rPr>
        <w:t xml:space="preserve">(Specify)’s </w:t>
      </w:r>
      <w:r>
        <w:rPr>
          <w:rFonts w:ascii="Arial" w:hAnsi="Arial" w:eastAsia="Arial"/>
          <w:color w:val="000000"/>
          <w:spacing w:val="0"/>
          <w:w w:val="100"/>
          <w:sz w:val="28"/>
          <w:vertAlign w:val="baseline"/>
          <w:lang w:val="en-US"/>
        </w:rPr>
        <w:t xml:space="preserve"> death; and</w:t>
      </w:r>
    </w:p>
    <w:p>
      <w:pPr>
        <w:pageBreakBefore w:val="false"/>
        <w:numPr>
          <w:ilvl w:val="0"/>
          <w:numId w:val="1"/>
        </w:numPr>
        <w:tabs>
          <w:tab w:val="clear" w:pos="720"/>
          <w:tab w:val="left" w:pos="1440"/>
        </w:tabs>
        <w:spacing w:before="326" w:after="0" w:line="322"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defendant’s acts, the defendant was more than eighteen years old.</w:t>
      </w:r>
    </w:p>
    <w:p>
      <w:pPr>
        <w:pageBreakBefore w:val="false"/>
        <w:spacing w:before="415"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8" w:after="0" w:line="321" w:lineRule="exact"/>
        <w:ind w:right="72" w:left="0" w:firstLine="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either of the affirmative defenses -- Extreme Emotional Disturbance (§ 125.26(2)(a)) or Aiding a Suicide (§ 125.26(2)(b)) -- applies, omit the final two paragraphs of the above charge, and substitute one of the charges at the end of this article.]</w:t>
      </w:r>
    </w:p>
    <w:sectPr>
      <w:type w:val="nextPage"/>
      <w:pgSz w:w="12240" w:h="15840" w:orient="portrait"/>
      <w:pgMar w:bottom="6064" w:top="1080" w:right="208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