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B90E" w14:textId="77777777" w:rsidR="00AC7DAA" w:rsidRDefault="00BA49BD">
      <w:pPr>
        <w:spacing w:before="9" w:line="331" w:lineRule="exact"/>
        <w:jc w:val="center"/>
        <w:textAlignment w:val="baseline"/>
        <w:rPr>
          <w:rFonts w:ascii="Arial" w:eastAsia="Arial" w:hAnsi="Arial"/>
          <w:b/>
          <w:color w:val="000000"/>
          <w:sz w:val="28"/>
        </w:rPr>
      </w:pPr>
      <w:r>
        <w:rPr>
          <w:rFonts w:ascii="Arial" w:eastAsia="Arial" w:hAnsi="Arial"/>
          <w:b/>
          <w:color w:val="000000"/>
          <w:sz w:val="28"/>
        </w:rPr>
        <w:t xml:space="preserve">MURDER IN THE FIRST DEGREE </w:t>
      </w:r>
      <w:r>
        <w:rPr>
          <w:rFonts w:ascii="Arial" w:eastAsia="Arial" w:hAnsi="Arial"/>
          <w:b/>
          <w:color w:val="000000"/>
          <w:sz w:val="28"/>
        </w:rPr>
        <w:br/>
        <w:t xml:space="preserve">(Intentional Murder - </w:t>
      </w:r>
      <w:r>
        <w:rPr>
          <w:rFonts w:ascii="Arial" w:eastAsia="Arial" w:hAnsi="Arial"/>
          <w:b/>
          <w:color w:val="000000"/>
          <w:sz w:val="28"/>
        </w:rPr>
        <w:br/>
        <w:t>Prior Murder Conviction)</w:t>
      </w:r>
      <w:r>
        <w:rPr>
          <w:rFonts w:ascii="Arial" w:eastAsia="Arial" w:hAnsi="Arial"/>
          <w:b/>
          <w:color w:val="000000"/>
          <w:sz w:val="28"/>
          <w:vertAlign w:val="superscript"/>
        </w:rPr>
        <w:t>1</w:t>
      </w:r>
      <w:r>
        <w:rPr>
          <w:rFonts w:ascii="Arial" w:eastAsia="Arial" w:hAnsi="Arial"/>
          <w:b/>
          <w:color w:val="000000"/>
          <w:sz w:val="17"/>
        </w:rPr>
        <w:t xml:space="preserve"> </w:t>
      </w:r>
      <w:r>
        <w:rPr>
          <w:rFonts w:ascii="Arial" w:eastAsia="Arial" w:hAnsi="Arial"/>
          <w:b/>
          <w:color w:val="000000"/>
          <w:sz w:val="17"/>
        </w:rPr>
        <w:br/>
      </w:r>
      <w:r>
        <w:rPr>
          <w:rFonts w:ascii="Arial" w:eastAsia="Arial" w:hAnsi="Arial"/>
          <w:b/>
          <w:color w:val="000000"/>
          <w:sz w:val="28"/>
        </w:rPr>
        <w:t xml:space="preserve">Penal Law § 125.27(1)(a)(ix) </w:t>
      </w:r>
      <w:r>
        <w:rPr>
          <w:rFonts w:ascii="Arial" w:eastAsia="Arial" w:hAnsi="Arial"/>
          <w:b/>
          <w:color w:val="000000"/>
          <w:sz w:val="28"/>
        </w:rPr>
        <w:br/>
        <w:t>(Committed on or after Sept. 1, 1995)</w:t>
      </w:r>
    </w:p>
    <w:p w14:paraId="0C4525E8" w14:textId="77777777" w:rsidR="00AC7DAA" w:rsidRPr="003C136A" w:rsidRDefault="00BA49BD">
      <w:pPr>
        <w:spacing w:before="653" w:line="322" w:lineRule="exact"/>
        <w:jc w:val="center"/>
        <w:textAlignment w:val="baseline"/>
        <w:rPr>
          <w:rFonts w:ascii="Arial" w:eastAsia="Arial" w:hAnsi="Arial"/>
          <w:color w:val="000000"/>
          <w:spacing w:val="-3"/>
          <w:sz w:val="27"/>
        </w:rPr>
      </w:pPr>
      <w:r w:rsidRPr="003C136A">
        <w:rPr>
          <w:rFonts w:ascii="Arial" w:eastAsia="Arial" w:hAnsi="Arial"/>
          <w:color w:val="000000"/>
          <w:spacing w:val="-3"/>
          <w:sz w:val="27"/>
        </w:rPr>
        <w:t xml:space="preserve">The </w:t>
      </w:r>
      <w:r w:rsidRPr="003C136A">
        <w:rPr>
          <w:rFonts w:ascii="Arial" w:eastAsia="Arial" w:hAnsi="Arial"/>
          <w:color w:val="000000"/>
          <w:spacing w:val="-3"/>
          <w:sz w:val="28"/>
          <w:u w:val="single"/>
        </w:rPr>
        <w:t>(</w:t>
      </w:r>
      <w:r w:rsidRPr="003C136A">
        <w:rPr>
          <w:rFonts w:ascii="Arial" w:eastAsia="Arial" w:hAnsi="Arial"/>
          <w:i/>
          <w:color w:val="000000"/>
          <w:spacing w:val="-3"/>
          <w:sz w:val="26"/>
          <w:u w:val="single"/>
        </w:rPr>
        <w:t>specify</w:t>
      </w:r>
      <w:r w:rsidRPr="003C136A">
        <w:rPr>
          <w:rFonts w:ascii="Arial" w:eastAsia="Arial" w:hAnsi="Arial"/>
          <w:color w:val="000000"/>
          <w:spacing w:val="-3"/>
          <w:sz w:val="28"/>
          <w:u w:val="single"/>
        </w:rPr>
        <w:t>)</w:t>
      </w:r>
      <w:r w:rsidRPr="003C136A">
        <w:rPr>
          <w:rFonts w:ascii="Arial" w:eastAsia="Arial" w:hAnsi="Arial"/>
          <w:color w:val="000000"/>
          <w:spacing w:val="-3"/>
          <w:sz w:val="27"/>
        </w:rPr>
        <w:t xml:space="preserve"> count is Murder in the First Degree.</w:t>
      </w:r>
    </w:p>
    <w:p w14:paraId="53CBE443" w14:textId="77777777" w:rsidR="00AC7DAA" w:rsidRPr="003C136A" w:rsidRDefault="00BA49BD">
      <w:pPr>
        <w:spacing w:before="316" w:line="325" w:lineRule="exact"/>
        <w:ind w:firstLine="720"/>
        <w:jc w:val="both"/>
        <w:textAlignment w:val="baseline"/>
        <w:rPr>
          <w:rFonts w:ascii="Arial" w:eastAsia="Arial" w:hAnsi="Arial"/>
          <w:color w:val="000000"/>
          <w:spacing w:val="-4"/>
          <w:sz w:val="27"/>
        </w:rPr>
      </w:pPr>
      <w:r w:rsidRPr="003C136A">
        <w:rPr>
          <w:rFonts w:ascii="Arial" w:eastAsia="Arial" w:hAnsi="Arial"/>
          <w:color w:val="000000"/>
          <w:spacing w:val="-4"/>
          <w:sz w:val="27"/>
        </w:rPr>
        <w:t>Under our law, a defendant is guilty of Murder in the First Degree when, with the intent to cause the death of another person, the defendant causes the death of such person [</w:t>
      </w:r>
      <w:r w:rsidRPr="003C136A">
        <w:rPr>
          <w:rFonts w:ascii="Arial" w:eastAsia="Arial" w:hAnsi="Arial"/>
          <w:i/>
          <w:color w:val="000000"/>
          <w:spacing w:val="-4"/>
          <w:sz w:val="27"/>
        </w:rPr>
        <w:t xml:space="preserve">or </w:t>
      </w:r>
      <w:r w:rsidRPr="003C136A">
        <w:rPr>
          <w:rFonts w:ascii="Arial" w:eastAsia="Arial" w:hAnsi="Arial"/>
          <w:color w:val="000000"/>
          <w:spacing w:val="-4"/>
          <w:sz w:val="27"/>
        </w:rPr>
        <w:t>of a third person]</w:t>
      </w:r>
      <w:r w:rsidRPr="003C136A">
        <w:rPr>
          <w:rFonts w:ascii="Arial" w:eastAsia="Arial" w:hAnsi="Arial"/>
          <w:color w:val="000000"/>
          <w:spacing w:val="-4"/>
          <w:sz w:val="27"/>
          <w:vertAlign w:val="superscript"/>
        </w:rPr>
        <w:t>2</w:t>
      </w:r>
      <w:r w:rsidRPr="003C136A">
        <w:rPr>
          <w:rFonts w:ascii="Arial" w:eastAsia="Arial" w:hAnsi="Arial"/>
          <w:color w:val="000000"/>
          <w:spacing w:val="-4"/>
          <w:sz w:val="27"/>
        </w:rPr>
        <w:t xml:space="preserve"> and the defendant was more than eighteen (18) years old at the time of the commission of the crime.</w:t>
      </w:r>
    </w:p>
    <w:p w14:paraId="4602B5C1" w14:textId="5A0A83AC" w:rsidR="00BA49BD" w:rsidRPr="003C136A" w:rsidRDefault="00BA49BD">
      <w:pPr>
        <w:spacing w:before="316" w:line="327" w:lineRule="exact"/>
        <w:ind w:firstLine="720"/>
        <w:jc w:val="both"/>
        <w:textAlignment w:val="baseline"/>
        <w:rPr>
          <w:rFonts w:ascii="Arial" w:eastAsia="Arial" w:hAnsi="Arial"/>
          <w:color w:val="000000"/>
          <w:sz w:val="27"/>
        </w:rPr>
      </w:pPr>
      <w:r w:rsidRPr="003C136A">
        <w:rPr>
          <w:rFonts w:ascii="Arial" w:eastAsia="Arial" w:hAnsi="Arial"/>
          <w:color w:val="000000"/>
          <w:sz w:val="27"/>
        </w:rPr>
        <w:t>The following term used in that definition has a special meaning:</w:t>
      </w:r>
    </w:p>
    <w:p w14:paraId="71038B38" w14:textId="77777777" w:rsidR="00AC7DAA" w:rsidRPr="003C136A" w:rsidRDefault="00BA49BD">
      <w:pPr>
        <w:spacing w:before="331" w:after="354" w:line="317" w:lineRule="exact"/>
        <w:ind w:left="720"/>
        <w:jc w:val="both"/>
        <w:textAlignment w:val="baseline"/>
        <w:rPr>
          <w:rFonts w:ascii="Arial" w:eastAsia="Arial" w:hAnsi="Arial"/>
          <w:color w:val="000000"/>
          <w:spacing w:val="-1"/>
          <w:sz w:val="27"/>
        </w:rPr>
      </w:pPr>
      <w:r w:rsidRPr="003C136A">
        <w:rPr>
          <w:rFonts w:ascii="Arial" w:eastAsia="Arial" w:hAnsi="Arial"/>
          <w:color w:val="000000"/>
          <w:spacing w:val="-1"/>
          <w:sz w:val="27"/>
        </w:rPr>
        <w:t>INTENT means conscious objective or purpose. Thus, a</w:t>
      </w:r>
    </w:p>
    <w:p w14:paraId="3000E8F1" w14:textId="77777777" w:rsidR="00AC7DAA" w:rsidRPr="003C136A" w:rsidRDefault="003C136A">
      <w:pPr>
        <w:spacing w:before="307" w:line="261" w:lineRule="exact"/>
        <w:ind w:firstLine="504"/>
        <w:jc w:val="both"/>
        <w:textAlignment w:val="baseline"/>
        <w:rPr>
          <w:rFonts w:ascii="Arial" w:eastAsia="Arial" w:hAnsi="Arial"/>
          <w:color w:val="000000"/>
          <w:sz w:val="16"/>
          <w:vertAlign w:val="superscript"/>
        </w:rPr>
      </w:pPr>
      <w:r w:rsidRPr="003C136A">
        <w:pict w14:anchorId="2EE501D3">
          <v:line id="_x0000_s1027" style="position:absolute;left:0;text-align:left;z-index:251657216;mso-position-horizontal-relative:page;mso-position-vertical-relative:page" from="108pt,382.8pt" to="252.05pt,382.8pt" strokeweight="1.2pt">
            <w10:wrap anchorx="page" anchory="page"/>
          </v:line>
        </w:pict>
      </w:r>
      <w:r w:rsidR="00BA49BD" w:rsidRPr="003C136A">
        <w:rPr>
          <w:rFonts w:ascii="Arial" w:eastAsia="Arial" w:hAnsi="Arial"/>
          <w:color w:val="000000"/>
          <w:sz w:val="16"/>
          <w:vertAlign w:val="superscript"/>
        </w:rPr>
        <w:t>1</w:t>
      </w:r>
      <w:r w:rsidR="00BA49BD" w:rsidRPr="003C136A">
        <w:rPr>
          <w:rFonts w:ascii="Arial" w:eastAsia="Arial" w:hAnsi="Arial"/>
          <w:color w:val="000000"/>
          <w:sz w:val="21"/>
        </w:rPr>
        <w:t>Pursuant to an amendment of CPL 200.60(3)(b) applicable solely to this crime, unless the defendant admits the prior conviction, the guilt phase of the trial for this crime must be conducted in two separate segments. This charge addresses only the first segment of the guilt phase trial.</w:t>
      </w:r>
    </w:p>
    <w:p w14:paraId="2DF53A4C" w14:textId="77777777" w:rsidR="00AC7DAA" w:rsidRPr="003C136A" w:rsidRDefault="00BA49BD">
      <w:pPr>
        <w:spacing w:before="333" w:line="253" w:lineRule="exact"/>
        <w:jc w:val="center"/>
        <w:textAlignment w:val="baseline"/>
        <w:rPr>
          <w:rFonts w:ascii="Arial" w:eastAsia="Arial" w:hAnsi="Arial"/>
          <w:color w:val="000000"/>
          <w:sz w:val="21"/>
        </w:rPr>
      </w:pPr>
      <w:r w:rsidRPr="003C136A">
        <w:rPr>
          <w:rFonts w:ascii="Arial" w:eastAsia="Arial" w:hAnsi="Arial"/>
          <w:color w:val="000000"/>
          <w:sz w:val="21"/>
        </w:rPr>
        <w:t>The element which elevates this crime to a capital felony is that:</w:t>
      </w:r>
    </w:p>
    <w:p w14:paraId="33CA39CC" w14:textId="77777777" w:rsidR="00AC7DAA" w:rsidRPr="003C136A" w:rsidRDefault="00BA49BD">
      <w:pPr>
        <w:spacing w:before="254" w:line="257" w:lineRule="exact"/>
        <w:ind w:left="720"/>
        <w:jc w:val="both"/>
        <w:textAlignment w:val="baseline"/>
        <w:rPr>
          <w:rFonts w:ascii="Arial" w:eastAsia="Arial" w:hAnsi="Arial"/>
          <w:color w:val="000000"/>
          <w:spacing w:val="-6"/>
          <w:sz w:val="21"/>
        </w:rPr>
      </w:pPr>
      <w:r w:rsidRPr="003C136A">
        <w:rPr>
          <w:rFonts w:ascii="Arial" w:eastAsia="Arial" w:hAnsi="Arial"/>
          <w:color w:val="000000"/>
          <w:spacing w:val="-6"/>
          <w:sz w:val="21"/>
        </w:rPr>
        <w:t xml:space="preserve">"prior to committing the killing, the defendant had been convicted of murder as defined in this section 125.27 or section 125.25 of this </w:t>
      </w:r>
      <w:proofErr w:type="gramStart"/>
      <w:r w:rsidRPr="003C136A">
        <w:rPr>
          <w:rFonts w:ascii="Arial" w:eastAsia="Arial" w:hAnsi="Arial"/>
          <w:color w:val="000000"/>
          <w:spacing w:val="-6"/>
          <w:sz w:val="21"/>
        </w:rPr>
        <w:t>article, or</w:t>
      </w:r>
      <w:proofErr w:type="gramEnd"/>
      <w:r w:rsidRPr="003C136A">
        <w:rPr>
          <w:rFonts w:ascii="Arial" w:eastAsia="Arial" w:hAnsi="Arial"/>
          <w:color w:val="000000"/>
          <w:spacing w:val="-6"/>
          <w:sz w:val="21"/>
        </w:rPr>
        <w:t xml:space="preserve"> had been convicted in another jurisdiction of an offense which, if committed in this state, would constitute a violation of either of such sections."</w:t>
      </w:r>
    </w:p>
    <w:p w14:paraId="701805D2" w14:textId="77777777" w:rsidR="00AC7DAA" w:rsidRPr="003C136A" w:rsidRDefault="00BA49BD">
      <w:pPr>
        <w:spacing w:before="259" w:line="256" w:lineRule="exact"/>
        <w:ind w:firstLine="720"/>
        <w:jc w:val="both"/>
        <w:textAlignment w:val="baseline"/>
        <w:rPr>
          <w:rFonts w:ascii="Arial" w:eastAsia="Arial" w:hAnsi="Arial"/>
          <w:color w:val="000000"/>
          <w:spacing w:val="-2"/>
          <w:sz w:val="21"/>
        </w:rPr>
      </w:pPr>
      <w:r w:rsidRPr="003C136A">
        <w:rPr>
          <w:rFonts w:ascii="Arial" w:eastAsia="Arial" w:hAnsi="Arial"/>
          <w:color w:val="000000"/>
          <w:spacing w:val="-2"/>
          <w:sz w:val="21"/>
        </w:rPr>
        <w:t>Pursuant to CPL § 200.60(3)(b), the fact of such prior conviction must be charged in a special information. The defendant must be arraigned on the special information in accordance with the procedure set forth in that statute. If, upon such arraignment, the defendant admits this element, the court must not make any reference to it in the definition of the offense or in listing the elements of the offense.</w:t>
      </w:r>
    </w:p>
    <w:p w14:paraId="64A44AC3" w14:textId="77777777" w:rsidR="00AC7DAA" w:rsidRPr="003C136A" w:rsidRDefault="00BA49BD">
      <w:pPr>
        <w:spacing w:before="262" w:line="256" w:lineRule="exact"/>
        <w:ind w:firstLine="720"/>
        <w:jc w:val="both"/>
        <w:textAlignment w:val="baseline"/>
        <w:rPr>
          <w:rFonts w:ascii="Arial" w:eastAsia="Arial" w:hAnsi="Arial"/>
          <w:color w:val="000000"/>
          <w:spacing w:val="-5"/>
          <w:sz w:val="21"/>
        </w:rPr>
      </w:pPr>
      <w:r w:rsidRPr="003C136A">
        <w:rPr>
          <w:rFonts w:ascii="Arial" w:eastAsia="Arial" w:hAnsi="Arial"/>
          <w:color w:val="000000"/>
          <w:spacing w:val="-5"/>
          <w:sz w:val="21"/>
        </w:rPr>
        <w:t>Unlike the operation of CPL 200.60(3) as to any other crime, if the defendant denies the prior conviction element of this crime or remains mute, the People may prove this element "only after the jury has first found the defendant guilty of intentionally causing the death of a person as charged in the indictment."</w:t>
      </w:r>
    </w:p>
    <w:p w14:paraId="0DD51640" w14:textId="77777777" w:rsidR="00AC7DAA" w:rsidRPr="003C136A" w:rsidRDefault="00BA49BD">
      <w:pPr>
        <w:spacing w:before="279" w:line="271" w:lineRule="exact"/>
        <w:ind w:firstLine="144"/>
        <w:jc w:val="both"/>
        <w:textAlignment w:val="baseline"/>
        <w:rPr>
          <w:rFonts w:ascii="Arial" w:eastAsia="Arial" w:hAnsi="Arial"/>
          <w:color w:val="000000"/>
          <w:sz w:val="16"/>
        </w:rPr>
      </w:pPr>
      <w:r w:rsidRPr="003C136A">
        <w:rPr>
          <w:rFonts w:ascii="Arial" w:eastAsia="Arial" w:hAnsi="Arial"/>
          <w:color w:val="000000"/>
          <w:sz w:val="16"/>
        </w:rPr>
        <w:t xml:space="preserve">2 </w:t>
      </w:r>
      <w:r w:rsidRPr="003C136A">
        <w:rPr>
          <w:rFonts w:ascii="Arial" w:eastAsia="Arial" w:hAnsi="Arial"/>
          <w:color w:val="000000"/>
          <w:sz w:val="21"/>
        </w:rPr>
        <w:t>If transferred intent applies and is in issue, see the definition of transferred intent in the Additional Charges at the end of this article.</w:t>
      </w:r>
    </w:p>
    <w:p w14:paraId="42C34EF2" w14:textId="77777777" w:rsidR="00AC7DAA" w:rsidRDefault="00AC7DAA">
      <w:pPr>
        <w:sectPr w:rsidR="00AC7DAA">
          <w:pgSz w:w="12240" w:h="15840"/>
          <w:pgMar w:top="1080" w:right="2140" w:bottom="664" w:left="2160" w:header="720" w:footer="720" w:gutter="0"/>
          <w:cols w:space="720"/>
        </w:sectPr>
      </w:pPr>
      <w:bookmarkStart w:id="0" w:name="_GoBack"/>
      <w:bookmarkEnd w:id="0"/>
    </w:p>
    <w:p w14:paraId="59B86E82" w14:textId="77777777" w:rsidR="00AC7DAA" w:rsidRDefault="00BA49BD">
      <w:pPr>
        <w:spacing w:before="14" w:line="318" w:lineRule="exact"/>
        <w:jc w:val="both"/>
        <w:textAlignment w:val="baseline"/>
        <w:rPr>
          <w:rFonts w:ascii="Arial" w:eastAsia="Arial" w:hAnsi="Arial"/>
          <w:color w:val="000000"/>
          <w:sz w:val="28"/>
        </w:rPr>
      </w:pPr>
      <w:r>
        <w:rPr>
          <w:rFonts w:ascii="Arial" w:eastAsia="Arial" w:hAnsi="Arial"/>
          <w:color w:val="000000"/>
          <w:sz w:val="28"/>
        </w:rPr>
        <w:lastRenderedPageBreak/>
        <w:t>person acts with intent to cause the death of another person when his or her conscious objective or purpose is to cause the death of that person.</w:t>
      </w:r>
      <w:r>
        <w:rPr>
          <w:rFonts w:ascii="Arial" w:eastAsia="Arial" w:hAnsi="Arial"/>
          <w:color w:val="000000"/>
          <w:sz w:val="28"/>
          <w:vertAlign w:val="superscript"/>
        </w:rPr>
        <w:t>3</w:t>
      </w:r>
      <w:r>
        <w:rPr>
          <w:rFonts w:ascii="Arial" w:eastAsia="Arial" w:hAnsi="Arial"/>
          <w:color w:val="000000"/>
          <w:sz w:val="17"/>
        </w:rPr>
        <w:t xml:space="preserve"> </w:t>
      </w:r>
    </w:p>
    <w:p w14:paraId="13744DD7" w14:textId="77777777" w:rsidR="00AC7DAA" w:rsidRDefault="00BA49BD">
      <w:pPr>
        <w:spacing w:before="33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6FDAF80F" w14:textId="77777777" w:rsidR="00AC7DAA" w:rsidRDefault="00BA49BD">
      <w:pPr>
        <w:numPr>
          <w:ilvl w:val="0"/>
          <w:numId w:val="1"/>
        </w:numPr>
        <w:tabs>
          <w:tab w:val="clear" w:pos="720"/>
          <w:tab w:val="left" w:pos="1440"/>
        </w:tabs>
        <w:spacing w:before="318" w:line="326"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caused the death of </w:t>
      </w:r>
      <w:r>
        <w:rPr>
          <w:rFonts w:ascii="Arial" w:eastAsia="Arial" w:hAnsi="Arial"/>
          <w:i/>
          <w:color w:val="000000"/>
          <w:sz w:val="23"/>
          <w:u w:val="single"/>
        </w:rPr>
        <w:t xml:space="preserve">(specify) </w:t>
      </w:r>
      <w:r>
        <w:rPr>
          <w:rFonts w:ascii="Arial" w:eastAsia="Arial" w:hAnsi="Arial"/>
          <w:color w:val="000000"/>
          <w:sz w:val="28"/>
        </w:rPr>
        <w:t xml:space="preserve"> ;</w:t>
      </w:r>
    </w:p>
    <w:p w14:paraId="3E6B582D" w14:textId="77777777" w:rsidR="00AC7DAA" w:rsidRDefault="00BA49BD">
      <w:pPr>
        <w:numPr>
          <w:ilvl w:val="0"/>
          <w:numId w:val="1"/>
        </w:numPr>
        <w:tabs>
          <w:tab w:val="clear" w:pos="720"/>
          <w:tab w:val="left" w:pos="1440"/>
        </w:tabs>
        <w:spacing w:before="326" w:line="322"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the defendant did so with the intent to cause the death of </w:t>
      </w:r>
      <w:r>
        <w:rPr>
          <w:rFonts w:ascii="Arial" w:eastAsia="Arial" w:hAnsi="Arial"/>
          <w:i/>
          <w:color w:val="000000"/>
          <w:sz w:val="23"/>
          <w:u w:val="single"/>
        </w:rPr>
        <w:t xml:space="preserve"> (specify) </w:t>
      </w:r>
      <w:r>
        <w:rPr>
          <w:rFonts w:ascii="Arial" w:eastAsia="Arial" w:hAnsi="Arial"/>
          <w:color w:val="000000"/>
          <w:sz w:val="28"/>
        </w:rPr>
        <w:t xml:space="preserve"> ; and</w:t>
      </w:r>
    </w:p>
    <w:p w14:paraId="37229296" w14:textId="77777777" w:rsidR="00AC7DAA" w:rsidRDefault="00BA49BD">
      <w:pPr>
        <w:numPr>
          <w:ilvl w:val="0"/>
          <w:numId w:val="1"/>
        </w:numPr>
        <w:tabs>
          <w:tab w:val="clear" w:pos="720"/>
          <w:tab w:val="left" w:pos="1440"/>
        </w:tabs>
        <w:spacing w:before="330" w:line="318" w:lineRule="exact"/>
        <w:ind w:left="1440" w:hanging="720"/>
        <w:jc w:val="both"/>
        <w:textAlignment w:val="baseline"/>
        <w:rPr>
          <w:rFonts w:ascii="Arial" w:eastAsia="Arial" w:hAnsi="Arial"/>
          <w:color w:val="000000"/>
          <w:spacing w:val="-4"/>
          <w:sz w:val="28"/>
        </w:rPr>
      </w:pPr>
      <w:r>
        <w:rPr>
          <w:rFonts w:ascii="Arial" w:eastAsia="Arial" w:hAnsi="Arial"/>
          <w:color w:val="000000"/>
          <w:spacing w:val="-4"/>
          <w:sz w:val="28"/>
        </w:rPr>
        <w:t>That the defendant was more than eighteen (18) years old at the time of the commission of the crime.</w:t>
      </w:r>
      <w:r>
        <w:rPr>
          <w:rFonts w:ascii="Arial" w:eastAsia="Arial" w:hAnsi="Arial"/>
          <w:color w:val="000000"/>
          <w:spacing w:val="-4"/>
          <w:sz w:val="28"/>
          <w:vertAlign w:val="superscript"/>
        </w:rPr>
        <w:t>4</w:t>
      </w:r>
      <w:r>
        <w:rPr>
          <w:rFonts w:ascii="Arial" w:eastAsia="Arial" w:hAnsi="Arial"/>
          <w:color w:val="000000"/>
          <w:spacing w:val="-4"/>
          <w:sz w:val="17"/>
        </w:rPr>
        <w:t xml:space="preserve"> </w:t>
      </w:r>
    </w:p>
    <w:p w14:paraId="445E4EF9" w14:textId="77777777" w:rsidR="00AC7DAA" w:rsidRDefault="00BA49BD">
      <w:pPr>
        <w:spacing w:before="336"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71086F0F" w14:textId="77777777" w:rsidR="00AC7DAA" w:rsidRDefault="00BA49BD">
      <w:pPr>
        <w:spacing w:before="323"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6B999306" w14:textId="77777777" w:rsidR="00AC7DAA" w:rsidRDefault="00BA49BD">
      <w:pPr>
        <w:spacing w:before="327" w:after="1776" w:line="320" w:lineRule="exact"/>
        <w:jc w:val="both"/>
        <w:textAlignment w:val="baseline"/>
        <w:rPr>
          <w:rFonts w:ascii="Arial" w:eastAsia="Arial" w:hAnsi="Arial"/>
          <w:i/>
          <w:color w:val="000000"/>
          <w:spacing w:val="-2"/>
          <w:sz w:val="28"/>
        </w:rPr>
      </w:pPr>
      <w:r>
        <w:rPr>
          <w:rFonts w:ascii="Arial" w:eastAsia="Arial" w:hAnsi="Arial"/>
          <w:i/>
          <w:color w:val="000000"/>
          <w:spacing w:val="-2"/>
          <w:sz w:val="28"/>
        </w:rPr>
        <w:t>[NOTE: If either of the affirmative defenses -- Extreme Emotional Disturbance (§ 125.27(2)(a)) or Aiding a Suicide (§ 125.27(2)(b)) -- applies, omit the final two paragraphs of the above charge, and substitute one of the charges at the end of this article.]</w:t>
      </w:r>
    </w:p>
    <w:p w14:paraId="7DAA41B1" w14:textId="77777777" w:rsidR="00AC7DAA" w:rsidRDefault="003C136A">
      <w:pPr>
        <w:spacing w:before="279" w:line="286" w:lineRule="exact"/>
        <w:ind w:firstLine="504"/>
        <w:jc w:val="both"/>
        <w:textAlignment w:val="baseline"/>
        <w:rPr>
          <w:rFonts w:ascii="Arial" w:eastAsia="Arial" w:hAnsi="Arial"/>
          <w:color w:val="000000"/>
          <w:sz w:val="17"/>
          <w:vertAlign w:val="superscript"/>
        </w:rPr>
      </w:pPr>
      <w:r>
        <w:pict w14:anchorId="2283B8A5">
          <v:line id="_x0000_s1026" style="position:absolute;left:0;text-align:left;z-index:251658240;mso-position-horizontal-relative:page;mso-position-vertical-relative:page" from="107.9pt,629.3pt" to="252.05pt,629.3pt" strokeweight=".95pt">
            <w10:wrap anchorx="page" anchory="page"/>
          </v:line>
        </w:pict>
      </w:r>
      <w:r w:rsidR="00BA49BD">
        <w:rPr>
          <w:rFonts w:ascii="Arial" w:eastAsia="Arial" w:hAnsi="Arial"/>
          <w:color w:val="000000"/>
          <w:sz w:val="17"/>
          <w:vertAlign w:val="superscript"/>
        </w:rPr>
        <w:t>3</w:t>
      </w:r>
      <w:r w:rsidR="00BA49BD">
        <w:rPr>
          <w:rFonts w:ascii="Arial" w:eastAsia="Arial" w:hAnsi="Arial"/>
          <w:i/>
          <w:color w:val="000000"/>
        </w:rPr>
        <w:t xml:space="preserve">See </w:t>
      </w:r>
      <w:r w:rsidR="00BA49BD">
        <w:rPr>
          <w:rFonts w:ascii="Arial" w:eastAsia="Arial" w:hAnsi="Arial"/>
          <w:color w:val="000000"/>
          <w:sz w:val="23"/>
        </w:rPr>
        <w:t xml:space="preserve">Penal Law § 15.05(1). </w:t>
      </w:r>
      <w:r w:rsidR="00BA49BD">
        <w:rPr>
          <w:rFonts w:ascii="Arial" w:eastAsia="Arial" w:hAnsi="Arial"/>
          <w:color w:val="000000"/>
          <w:sz w:val="24"/>
        </w:rPr>
        <w:t>For an expanded charge on intent, see General Charges, Culpable Mental States, Intent.</w:t>
      </w:r>
    </w:p>
    <w:p w14:paraId="07A70E87" w14:textId="77777777" w:rsidR="00AC7DAA" w:rsidRDefault="00BA49BD">
      <w:pPr>
        <w:spacing w:before="294" w:line="262" w:lineRule="exact"/>
        <w:ind w:firstLine="360"/>
        <w:jc w:val="both"/>
        <w:textAlignment w:val="baseline"/>
        <w:rPr>
          <w:rFonts w:ascii="Arial" w:eastAsia="Arial" w:hAnsi="Arial"/>
          <w:color w:val="000000"/>
          <w:sz w:val="17"/>
        </w:rPr>
      </w:pPr>
      <w:r>
        <w:rPr>
          <w:rFonts w:ascii="Arial" w:eastAsia="Arial" w:hAnsi="Arial"/>
          <w:color w:val="000000"/>
          <w:sz w:val="17"/>
        </w:rPr>
        <w:t xml:space="preserve">4 </w:t>
      </w:r>
      <w:r>
        <w:rPr>
          <w:rFonts w:ascii="Arial" w:eastAsia="Arial" w:hAnsi="Arial"/>
          <w:color w:val="000000"/>
          <w:sz w:val="23"/>
        </w:rPr>
        <w:t xml:space="preserve">Regardless of whether the defendant has admitted, denied, or stood mute regarding his prior conviction, at the first segment of the guilt phase trial, the offense will consist of </w:t>
      </w:r>
      <w:r>
        <w:rPr>
          <w:rFonts w:ascii="Arial" w:eastAsia="Arial" w:hAnsi="Arial"/>
          <w:i/>
          <w:color w:val="000000"/>
        </w:rPr>
        <w:t xml:space="preserve">only </w:t>
      </w:r>
      <w:r>
        <w:rPr>
          <w:rFonts w:ascii="Arial" w:eastAsia="Arial" w:hAnsi="Arial"/>
          <w:color w:val="000000"/>
          <w:sz w:val="23"/>
        </w:rPr>
        <w:t>the first three elements. No mention may be made of the prior conviction. (</w:t>
      </w:r>
      <w:r>
        <w:rPr>
          <w:rFonts w:ascii="Arial" w:eastAsia="Arial" w:hAnsi="Arial"/>
          <w:i/>
          <w:color w:val="000000"/>
        </w:rPr>
        <w:t>See</w:t>
      </w:r>
      <w:r>
        <w:rPr>
          <w:rFonts w:ascii="Arial" w:eastAsia="Arial" w:hAnsi="Arial"/>
          <w:color w:val="000000"/>
          <w:sz w:val="23"/>
        </w:rPr>
        <w:t>, CPL 200.60[3][b]).</w:t>
      </w:r>
    </w:p>
    <w:sectPr w:rsidR="00AC7DAA">
      <w:pgSz w:w="12240" w:h="15840"/>
      <w:pgMar w:top="1080" w:right="2134" w:bottom="624" w:left="21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6352"/>
    <w:multiLevelType w:val="multilevel"/>
    <w:tmpl w:val="FEE64F8A"/>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C7DAA"/>
    <w:rsid w:val="003C136A"/>
    <w:rsid w:val="00AC7DAA"/>
    <w:rsid w:val="00BA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B76781"/>
  <w15:docId w15:val="{EA7653E6-8903-4FD3-896D-86F485E2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4</cp:revision>
  <dcterms:created xsi:type="dcterms:W3CDTF">2018-07-14T16:47:00Z</dcterms:created>
  <dcterms:modified xsi:type="dcterms:W3CDTF">2018-07-14T16:59:00Z</dcterms:modified>
</cp:coreProperties>
</file>