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SEXUAL ACT IN THE THIRD DEGREE</w:t>
        <w:br/>
      </w:r>
      <w:r>
        <w:rPr>
          <w:rFonts w:ascii="Arial" w:hAnsi="Arial" w:eastAsia="Arial"/>
          <w:b w:val="true"/>
          <w:color w:val="000000"/>
          <w:spacing w:val="0"/>
          <w:w w:val="100"/>
          <w:sz w:val="28"/>
          <w:vertAlign w:val="baseline"/>
          <w:lang w:val="en-US"/>
        </w:rPr>
        <w:t xml:space="preserve">(Defendant 21 or More</w:t>
        <w:br/>
      </w:r>
      <w:r>
        <w:rPr>
          <w:rFonts w:ascii="Arial" w:hAnsi="Arial" w:eastAsia="Arial"/>
          <w:b w:val="true"/>
          <w:color w:val="000000"/>
          <w:spacing w:val="0"/>
          <w:w w:val="100"/>
          <w:sz w:val="28"/>
          <w:vertAlign w:val="baseline"/>
          <w:lang w:val="en-US"/>
        </w:rPr>
        <w:t xml:space="preserve">Complainant Less Than 17)</w:t>
        <w:br/>
      </w:r>
      <w:r>
        <w:rPr>
          <w:rFonts w:ascii="Arial" w:hAnsi="Arial" w:eastAsia="Arial"/>
          <w:b w:val="true"/>
          <w:color w:val="000000"/>
          <w:spacing w:val="0"/>
          <w:w w:val="100"/>
          <w:sz w:val="28"/>
          <w:vertAlign w:val="baseline"/>
          <w:lang w:val="en-US"/>
        </w:rPr>
        <w:t xml:space="preserve">Penal Law § 130.40 (2)</w:t>
        <w:br/>
      </w:r>
      <w:r>
        <w:rPr>
          <w:rFonts w:ascii="Arial" w:hAnsi="Arial" w:eastAsia="Arial"/>
          <w:b w:val="true"/>
          <w:color w:val="000000"/>
          <w:spacing w:val="0"/>
          <w:w w:val="100"/>
          <w:sz w:val="28"/>
          <w:vertAlign w:val="baseline"/>
          <w:lang w:val="en-US"/>
        </w:rPr>
        <w:t xml:space="preserve">(Committed on or after Nov. 1, 2003)</w:t>
        <w:br/>
      </w:r>
      <w:r>
        <w:rPr>
          <w:rFonts w:ascii="Arial" w:hAnsi="Arial" w:eastAsia="Arial"/>
          <w:b w:val="true"/>
          <w:color w:val="000000"/>
          <w:spacing w:val="0"/>
          <w:w w:val="100"/>
          <w:sz w:val="28"/>
          <w:vertAlign w:val="baseline"/>
          <w:lang w:val="en-US"/>
        </w:rPr>
        <w:t xml:space="preserve">(Revised December 2013)</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32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Sexual Act in the Third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Sexual Act in the Third Degree when, being twenty-one (21) years old or more, he or she engages in</w:t>
      </w:r>
    </w:p>
    <w:p>
      <w:pPr>
        <w:pageBreakBefore w:val="false"/>
        <w:spacing w:before="322" w:after="0" w:line="320"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7"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[or]</w:t>
      </w:r>
    </w:p>
    <w:p>
      <w:pPr>
        <w:pageBreakBefore w:val="false"/>
        <w:spacing w:before="0"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w:t>
      </w:r>
    </w:p>
    <w:p>
      <w:pPr>
        <w:pageBreakBefore w:val="false"/>
        <w:spacing w:before="326"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a person who is incapable of consent by reason of being less than seventeen (17) years old.</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17"/>
          <w:vertAlign w:val="baseline"/>
          <w:lang w:val="en-US"/>
        </w:rPr>
        <w:t xml:space="preserve">
</w:t>
      </w:r>
    </w:p>
    <w:p>
      <w:pPr>
        <w:pageBreakBefore w:val="false"/>
        <w:spacing w:before="332" w:after="535"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260" w:after="0" w:line="276" w:lineRule="exact"/>
        <w:ind w:right="0" w:left="0" w:firstLine="720"/>
        <w:jc w:val="both"/>
        <w:textAlignment w:val="baseline"/>
        <w:rPr>
          <w:rFonts w:ascii="Arial" w:hAnsi="Arial" w:eastAsia="Arial"/>
          <w:color w:val="000000"/>
          <w:spacing w:val="-3"/>
          <w:w w:val="100"/>
          <w:sz w:val="14"/>
          <w:vertAlign w:val="superscript"/>
          <w:lang w:val="en-US"/>
        </w:rPr>
      </w:pPr>
      <w:r>
        <w:pict>
          <v:line strokeweight="1.2pt" strokecolor="#000000" from="108pt,474.95pt" to="252.05pt,474.95pt" style="position:absolute;mso-position-horizontal-relative:page;mso-position-vertical-relative:page;">
            <v:stroke dashstyle="solid"/>
          </v:line>
        </w:pict>
      </w:r>
      <w:r>
        <w:rPr>
          <w:rFonts w:ascii="Arial" w:hAnsi="Arial" w:eastAsia="Arial"/>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The revision was to make uniform the instructions for article 130 sections regarding people who are incapable of consenting that include as an element that the defendant is not married to the complainant or that contain the statutory defense that the defendant was married to the complainant at the time of the alleged offense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130.05 [3] and 130.10 [4]). For instances where “not married to the [complainant]” is a statutory element, that language appears in the portions of the instructions that mirror the statutory language of the appropriate subdivision, then as applicable, that element must be included in the court’s charge. For instances where marriage to the complainant is a defense, the instructions contain a note indicating the circumstances under which the defense applies; if the defense is in issue, the “not married to the [complainant]” element must be included in the court’s charge.</w:t>
      </w:r>
    </w:p>
    <w:p>
      <w:pPr>
        <w:pageBreakBefore w:val="false"/>
        <w:spacing w:before="242" w:after="0" w:line="276"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definition of the crime has been modified to incorporate specifically the requirement of incapacity to consent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130.05 [1], [2] [b]).</w:t>
      </w:r>
    </w:p>
    <w:p>
      <w:pPr>
        <w:sectPr>
          <w:type w:val="nextPage"/>
          <w:pgSz w:w="12240" w:h="15840" w:orient="portrait"/>
          <w:pgMar w:bottom="1024" w:top="1440" w:right="2140" w:left="2160" w:header="720" w:footer="720"/>
          <w:titlePg w:val="false"/>
          <w:textDirection w:val="lrTb"/>
        </w:sectPr>
      </w:pPr>
    </w:p>
    <w:p>
      <w:pPr>
        <w:pageBreakBefore w:val="false"/>
        <w:spacing w:before="8" w:after="0"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16" w:after="0" w:line="319"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46" w:after="0" w:line="315"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 means conduct between persons consisting of contact between the penis and the anus.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3"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INCAPABLE OF CONSENTING to [oral (or) anal] sexual conduct when that person is less than seventeen (17) years old.</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28"/>
          <w:vertAlign w:val="baseline"/>
          <w:lang w:val="en-US"/>
        </w:rPr>
        <w:t xml:space="preserve"> Thus, the law deems [oral (or) anal] sexual conduct with such a person to be without that person's consent, even if in fact that person did consent.</w:t>
      </w:r>
    </w:p>
    <w:p>
      <w:pPr>
        <w:pageBreakBefore w:val="false"/>
        <w:spacing w:before="335"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not a defense to a charge of Criminal Sexual Act in the Third Degree that the actor did not know that the person with whom the actor had [oral (or) anal] sexual conduct was less than seventeen (17) years old, or that the actor believed that such person was seventeen (17) years old or more on the date of the crime.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5"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spacing w:before="330" w:after="466" w:line="323" w:lineRule="exact"/>
        <w:ind w:right="0" w:left="720" w:firstLine="144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It is a defense to this charge that the defendant was married to the victim.</w:t>
      </w:r>
      <w:r>
        <w:rPr>
          <w:rFonts w:ascii="Arial" w:hAnsi="Arial" w:eastAsia="Arial"/>
          <w:color w:val="000000"/>
          <w:spacing w:val="-2"/>
          <w:w w:val="100"/>
          <w:sz w:val="28"/>
          <w:vertAlign w:val="superscript"/>
          <w:lang w:val="en-US"/>
        </w:rPr>
        <w:t xml:space="preserve">7</w:t>
      </w:r>
      <w:r>
        <w:rPr>
          <w:rFonts w:ascii="Arial" w:hAnsi="Arial" w:eastAsia="Arial"/>
          <w:color w:val="000000"/>
          <w:spacing w:val="-2"/>
          <w:w w:val="100"/>
          <w:sz w:val="28"/>
          <w:vertAlign w:val="baseline"/>
          <w:lang w:val="en-US"/>
        </w:rPr>
        <w:t xml:space="preserve"> “Married” means the existence of the relationship between the defendant and the victim as spouses which was recognized by law at the time of the</w:t>
      </w:r>
    </w:p>
    <w:p>
      <w:pPr>
        <w:pageBreakBefore w:val="false"/>
        <w:spacing w:before="257"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5pt,566.4pt" to="252.05pt,566.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130.00 (2) (a).</w:t>
      </w:r>
    </w:p>
    <w:p>
      <w:pPr>
        <w:pageBreakBefore w:val="false"/>
        <w:spacing w:before="237"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130.00 (2) (b).</w:t>
      </w:r>
    </w:p>
    <w:p>
      <w:pPr>
        <w:pageBreakBefore w:val="false"/>
        <w:spacing w:before="248"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(3) (a).</w:t>
      </w:r>
    </w:p>
    <w:p>
      <w:pPr>
        <w:pageBreakBefore w:val="false"/>
        <w:spacing w:before="251" w:after="0" w:line="276"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15.20 (3).</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pageBreakBefore w:val="false"/>
        <w:spacing w:before="244"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50" w:left="2150" w:header="720" w:footer="720"/>
          <w:titlePg w:val="false"/>
          <w:textDirection w:val="lrTb"/>
        </w:sectPr>
      </w:pPr>
    </w:p>
    <w:p>
      <w:pPr>
        <w:pageBreakBefore w:val="false"/>
        <w:spacing w:before="44" w:after="0" w:line="318"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alleged commission of this crime.</w:t>
      </w:r>
      <w:r>
        <w:rPr>
          <w:rFonts w:ascii="Arial" w:hAnsi="Arial" w:eastAsia="Arial"/>
          <w:color w:val="000000"/>
          <w:spacing w:val="-1"/>
          <w:w w:val="100"/>
          <w:sz w:val="28"/>
          <w:vertAlign w:val="superscript"/>
          <w:lang w:val="en-US"/>
        </w:rPr>
        <w:t xml:space="preserve">8</w:t>
      </w:r>
      <w:r>
        <w:rPr>
          <w:rFonts w:ascii="Arial" w:hAnsi="Arial" w:eastAsia="Arial"/>
          <w:color w:val="000000"/>
          <w:spacing w:val="-1"/>
          <w:w w:val="100"/>
          <w:sz w:val="28"/>
          <w:vertAlign w:val="baseline"/>
          <w:lang w:val="en-US"/>
        </w:rPr>
        <w:t xml:space="preserve">]</w:t>
      </w:r>
    </w:p>
    <w:p>
      <w:pPr>
        <w:pageBreakBefore w:val="false"/>
        <w:spacing w:before="334"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numPr>
          <w:ilvl w:val="0"/>
          <w:numId w:val="1"/>
        </w:numPr>
        <w:tabs>
          <w:tab w:val="clear" w:pos="720"/>
          <w:tab w:val="left" w:pos="1440"/>
        </w:tabs>
        <w:spacing w:before="331"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(name of defendant)</w:t>
      </w:r>
      <w:r>
        <w:rPr>
          <w:rFonts w:ascii="Arial" w:hAnsi="Arial" w:eastAsia="Arial"/>
          <w:color w:val="000000"/>
          <w:spacing w:val="0"/>
          <w:w w:val="100"/>
          <w:sz w:val="28"/>
          <w:vertAlign w:val="baseline"/>
          <w:lang w:val="en-US"/>
        </w:rPr>
        <w:t xml:space="preserve">, engaged in</w:t>
      </w:r>
    </w:p>
    <w:p>
      <w:pPr>
        <w:pageBreakBefore w:val="false"/>
        <w:spacing w:before="327" w:after="0" w:line="318"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applicable alternative(s):</w:t>
      </w:r>
    </w:p>
    <w:p>
      <w:pPr>
        <w:pageBreakBefore w:val="false"/>
        <w:spacing w:before="4"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oral sexual conduct [or]</w:t>
      </w:r>
    </w:p>
    <w:p>
      <w:pPr>
        <w:pageBreakBefore w:val="false"/>
        <w:spacing w:before="9"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w:t>
      </w:r>
    </w:p>
    <w:p>
      <w:pPr>
        <w:pageBreakBefore w:val="false"/>
        <w:spacing w:before="331" w:after="0" w:line="322" w:lineRule="exact"/>
        <w:ind w:right="0" w:left="144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with </w:t>
      </w:r>
      <w:r>
        <w:rPr>
          <w:rFonts w:ascii="Arial" w:hAnsi="Arial" w:eastAsia="Arial"/>
          <w:color w:val="000000"/>
          <w:spacing w:val="-1"/>
          <w:w w:val="100"/>
          <w:sz w:val="28"/>
          <w:u w:val="single"/>
          <w:vertAlign w:val="baseline"/>
          <w:lang w:val="en-US"/>
        </w:rPr>
        <w:t xml:space="preserve"> (</w:t>
      </w:r>
      <w:r>
        <w:rPr>
          <w:rFonts w:ascii="Arial" w:hAnsi="Arial" w:eastAsia="Arial"/>
          <w:i w:val="true"/>
          <w:color w:val="000000"/>
          <w:spacing w:val="-1"/>
          <w:w w:val="100"/>
          <w:sz w:val="28"/>
          <w:u w:val="single"/>
          <w:vertAlign w:val="baseline"/>
          <w:lang w:val="en-US"/>
        </w:rPr>
        <w:t xml:space="preserve">name of complainant</w:t>
      </w:r>
      <w:r>
        <w:rPr>
          <w:rFonts w:ascii="Arial" w:hAnsi="Arial" w:eastAsia="Arial"/>
          <w:color w:val="000000"/>
          <w:spacing w:val="-1"/>
          <w:w w:val="100"/>
          <w:sz w:val="28"/>
          <w:u w:val="single"/>
          <w:vertAlign w:val="baseline"/>
          <w:lang w:val="en-US"/>
        </w:rPr>
        <w:t xml:space="preserve">) </w:t>
      </w:r>
      <w:r>
        <w:rPr>
          <w:rFonts w:ascii="Arial" w:hAnsi="Arial" w:eastAsia="Arial"/>
          <w:color w:val="000000"/>
          <w:spacing w:val="-1"/>
          <w:w w:val="100"/>
          <w:sz w:val="28"/>
          <w:vertAlign w:val="baseline"/>
          <w:lang w:val="en-US"/>
        </w:rPr>
        <w:t xml:space="preserve"> ; and</w:t>
      </w:r>
    </w:p>
    <w:p>
      <w:pPr>
        <w:pageBreakBefore w:val="false"/>
        <w:numPr>
          <w:ilvl w:val="0"/>
          <w:numId w:val="1"/>
        </w:numPr>
        <w:tabs>
          <w:tab w:val="clear" w:pos="720"/>
          <w:tab w:val="left" w:pos="1440"/>
        </w:tabs>
        <w:spacing w:before="311"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twenty-one (21) years old or more at that time;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(name of complainant) </w:t>
      </w:r>
      <w:r>
        <w:rPr>
          <w:rFonts w:ascii="Arial" w:hAnsi="Arial" w:eastAsia="Arial"/>
          <w:color w:val="000000"/>
          <w:spacing w:val="0"/>
          <w:w w:val="100"/>
          <w:sz w:val="28"/>
          <w:vertAlign w:val="baseline"/>
          <w:lang w:val="en-US"/>
        </w:rPr>
        <w:t xml:space="preserve"> was incapable of consent because he/she was less than seventeen (17) years old [and]</w:t>
      </w:r>
    </w:p>
    <w:p>
      <w:pPr>
        <w:pageBreakBefore w:val="false"/>
        <w:spacing w:before="331"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8"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663"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4" w:after="226" w:line="281" w:lineRule="exact"/>
        <w:ind w:right="72" w:left="0" w:firstLine="720"/>
        <w:jc w:val="both"/>
        <w:textAlignment w:val="baseline"/>
        <w:rPr>
          <w:rFonts w:ascii="Arial" w:hAnsi="Arial" w:eastAsia="Arial"/>
          <w:color w:val="000000"/>
          <w:spacing w:val="0"/>
          <w:w w:val="100"/>
          <w:sz w:val="14"/>
          <w:vertAlign w:val="superscript"/>
          <w:lang w:val="en-US"/>
        </w:rPr>
      </w:pPr>
      <w:r>
        <w:pict>
          <v:line strokeweight="0.95pt" strokecolor="#000000" from="107.55pt,656.9pt" to="252.05pt,65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nextPage"/>
      <w:pgSz w:w="12240" w:h="15840" w:orient="portrait"/>
      <w:pgMar w:bottom="1024" w:top="1400" w:right="2113" w:left="215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