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27"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SEXUAL ACT IN THE THIRD DEGREE</w:t>
        <w:br/>
      </w:r>
      <w:r>
        <w:rPr>
          <w:rFonts w:ascii="Arial" w:hAnsi="Arial" w:eastAsia="Arial"/>
          <w:b w:val="true"/>
          <w:strike w:val="false"/>
          <w:color w:val="000000"/>
          <w:spacing w:val="0"/>
          <w:w w:val="100"/>
          <w:sz w:val="28"/>
          <w:vertAlign w:val="baseline"/>
          <w:lang w:val="en-US"/>
        </w:rPr>
        <w:t xml:space="preserve">(Lack of Consent - Totality of Circumstances)</w:t>
        <w:br/>
      </w:r>
      <w:r>
        <w:rPr>
          <w:rFonts w:ascii="Arial" w:hAnsi="Arial" w:eastAsia="Arial"/>
          <w:b w:val="true"/>
          <w:strike w:val="false"/>
          <w:color w:val="000000"/>
          <w:spacing w:val="0"/>
          <w:w w:val="100"/>
          <w:sz w:val="28"/>
          <w:vertAlign w:val="baseline"/>
          <w:lang w:val="en-US"/>
        </w:rPr>
        <w:t xml:space="preserve">Penal Law § 130.40(3)</w:t>
        <w:br/>
      </w:r>
      <w:r>
        <w:rPr>
          <w:rFonts w:ascii="Arial" w:hAnsi="Arial" w:eastAsia="Arial"/>
          <w:b w:val="true"/>
          <w:strike w:val="false"/>
          <w:color w:val="000000"/>
          <w:spacing w:val="0"/>
          <w:w w:val="100"/>
          <w:sz w:val="28"/>
          <w:vertAlign w:val="baseline"/>
          <w:lang w:val="en-US"/>
        </w:rPr>
        <w:t xml:space="preserve">(Committed on or after November 1, 2003)</w:t>
      </w:r>
    </w:p>
    <w:p>
      <w:pPr>
        <w:pageBreakBefore w:val="false"/>
        <w:spacing w:before="0" w:after="0" w:line="279" w:lineRule="exact"/>
        <w:ind w:right="0" w:left="0" w:firstLine="0"/>
        <w:jc w:val="center"/>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(Revised July, 2018)</w:t>
      </w:r>
      <w:r>
        <w:rPr>
          <w:rFonts w:ascii="Arial" w:hAnsi="Arial" w:eastAsia="Arial"/>
          <w:strike w:val="false"/>
          <w:color w:val="000000"/>
          <w:spacing w:val="-3"/>
          <w:w w:val="100"/>
          <w:sz w:val="24"/>
          <w:vertAlign w:val="superscript"/>
          <w:lang w:val="en-US"/>
        </w:rPr>
        <w:t xml:space="preserve">1</w:t>
      </w:r>
      <w:r>
        <w:rPr>
          <w:rFonts w:ascii="Arial" w:hAnsi="Arial" w:eastAsia="Arial"/>
          <w:strike w:val="false"/>
          <w:color w:val="000000"/>
          <w:spacing w:val="-3"/>
          <w:w w:val="100"/>
          <w:sz w:val="17"/>
          <w:vertAlign w:val="baseline"/>
          <w:lang w:val="en-US"/>
        </w:rPr>
        <w:t xml:space="preserve">
</w:t>
      </w:r>
    </w:p>
    <w:p>
      <w:pPr>
        <w:pageBreakBefore w:val="false"/>
        <w:spacing w:before="33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Sexual Act in the Third Degree.</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Sexual Act in the Third Degree, when he or she engages in</w:t>
      </w:r>
    </w:p>
    <w:p>
      <w:pPr>
        <w:pageBreakBefore w:val="false"/>
        <w:spacing w:before="330" w:after="0" w:line="319"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applicable alternative(s):</w:t>
      </w:r>
    </w:p>
    <w:p>
      <w:pPr>
        <w:pageBreakBefore w:val="false"/>
        <w:spacing w:before="310" w:after="0" w:line="32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oral sexual conduct, [or]</w:t>
        <w:br/>
      </w:r>
      <w:r>
        <w:rPr>
          <w:rFonts w:ascii="Arial" w:hAnsi="Arial" w:eastAsia="Arial"/>
          <w:strike w:val="false"/>
          <w:color w:val="000000"/>
          <w:spacing w:val="0"/>
          <w:w w:val="100"/>
          <w:sz w:val="28"/>
          <w:vertAlign w:val="baseline"/>
          <w:lang w:val="en-US"/>
        </w:rPr>
        <w:t xml:space="preserve">anal sexual conduct</w:t>
      </w:r>
    </w:p>
    <w:p>
      <w:pPr>
        <w:pageBreakBefore w:val="false"/>
        <w:spacing w:before="327"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another person without such person's consent.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0"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0" w:line="319"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applicable alternative(s):</w:t>
      </w:r>
    </w:p>
    <w:p>
      <w:pPr>
        <w:pageBreakBefore w:val="false"/>
        <w:spacing w:before="336" w:after="0" w:line="319"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[ORAL SEXUAL CONDUCT means conduct between persons consisting of contact between the mouth and the penis, the mouth and the anus, or the mouth and the vulva or vagina.</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w:t>
      </w:r>
    </w:p>
    <w:p>
      <w:pPr>
        <w:pageBreakBefore w:val="false"/>
        <w:spacing w:before="335" w:after="441" w:line="318" w:lineRule="exact"/>
        <w:ind w:right="0" w:left="144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[ANAL SEXUAL CONDUCT means conduct between</w:t>
      </w:r>
    </w:p>
    <w:p>
      <w:pPr>
        <w:pageBreakBefore w:val="false"/>
        <w:spacing w:before="255" w:after="0" w:line="277"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561.6pt" to="252.05pt,561.6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2018 revision was for the purpose of adding the text to footnote six.</w:t>
      </w:r>
    </w:p>
    <w:p>
      <w:pPr>
        <w:pageBreakBefore w:val="false"/>
        <w:spacing w:before="234" w:after="0" w:line="277" w:lineRule="exact"/>
        <w:ind w:right="0" w:left="0" w:firstLine="0"/>
        <w:jc w:val="both"/>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2</w:t>
      </w:r>
      <w:r>
        <w:rPr>
          <w:rFonts w:ascii="Arial" w:hAnsi="Arial" w:eastAsia="Arial"/>
          <w:strike w:val="false"/>
          <w:color w:val="000000"/>
          <w:spacing w:val="-1"/>
          <w:w w:val="100"/>
          <w:sz w:val="24"/>
          <w:vertAlign w:val="baseline"/>
          <w:lang w:val="en-US"/>
        </w:rPr>
        <w:t xml:space="preserve"> At this point, the statutory definition continues: “where such lack of consent is by reason of some factor other than incapacity to consent.” There are two such factors, forcible compulsion [Penal Law § 130.05(2)(a)] and the conduct set forth in Penal Law § 130.05(2)(d). The latter factor is the focus of this charge and that is set forth in the definition of the term “without such person's consent.” If “forcible compulsion” is the charged conduct, adapt the charge provided for Criminal Sexual Act in the First Degree by forcible compulsion.</w:t>
      </w:r>
    </w:p>
    <w:p>
      <w:pPr>
        <w:pageBreakBefore w:val="false"/>
        <w:spacing w:before="270" w:after="0" w:line="277" w:lineRule="exact"/>
        <w:ind w:right="0" w:left="0" w:firstLine="0"/>
        <w:jc w:val="left"/>
        <w:textAlignment w:val="baseline"/>
        <w:rPr>
          <w:rFonts w:ascii="Arial" w:hAnsi="Arial" w:eastAsia="Arial"/>
          <w:strike w:val="false"/>
          <w:color w:val="000000"/>
          <w:spacing w:val="3"/>
          <w:w w:val="100"/>
          <w:sz w:val="17"/>
          <w:vertAlign w:val="baseline"/>
          <w:lang w:val="en-US"/>
        </w:rPr>
      </w:pPr>
      <w:r>
        <w:rPr>
          <w:rFonts w:ascii="Arial" w:hAnsi="Arial" w:eastAsia="Arial"/>
          <w:strike w:val="false"/>
          <w:color w:val="000000"/>
          <w:spacing w:val="3"/>
          <w:w w:val="100"/>
          <w:sz w:val="17"/>
          <w:vertAlign w:val="baseline"/>
          <w:lang w:val="en-US"/>
        </w:rPr>
        <w:t xml:space="preserve">2 </w:t>
      </w:r>
      <w:r>
        <w:rPr>
          <w:rFonts w:ascii="Arial" w:hAnsi="Arial" w:eastAsia="Arial"/>
          <w:strike w:val="false"/>
          <w:color w:val="000000"/>
          <w:spacing w:val="3"/>
          <w:w w:val="100"/>
          <w:sz w:val="24"/>
          <w:vertAlign w:val="baseline"/>
          <w:lang w:val="en-US"/>
        </w:rPr>
        <w:t xml:space="preserve">Penal Law § 130.00(2)(a).</w:t>
      </w:r>
    </w:p>
    <w:p>
      <w:pPr>
        <w:sectPr>
          <w:type w:val="nextPage"/>
          <w:pgSz w:w="12240" w:h="15840" w:orient="portrait"/>
          <w:pgMar w:bottom="644" w:top="1080" w:right="2140" w:left="2160" w:header="720" w:footer="720"/>
          <w:titlePg w:val="false"/>
          <w:textDirection w:val="lrTb"/>
        </w:sectPr>
      </w:pPr>
    </w:p>
    <w:p>
      <w:pPr>
        <w:pageBreakBefore w:val="false"/>
        <w:spacing w:before="25" w:after="0" w:line="309"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persons consisting of contact between the penis and anus.</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w:t>
      </w:r>
    </w:p>
    <w:p>
      <w:pPr>
        <w:pageBreakBefore w:val="false"/>
        <w:spacing w:before="33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engages in [oral (or) anal] sexual conduct with another person WITHOUT SUCH PERSON'S CONSENT when there is a lack of consent to the act.</w:t>
      </w:r>
    </w:p>
    <w:p>
      <w:pPr>
        <w:pageBreakBefore w:val="false"/>
        <w:spacing w:before="329"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Lack of consent results from circumstances under which, at the time of the act of [oral (or) anal] sexual conduct, the complainant clearly expressed that he or she did not consent to engage in such act, and a reasonable person in the actor’s situation would have understood the complainant's words and acts as an expression of lack of consent to such act under all the circumstances.</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If a reasonable person in the actor's situation would have so understood, it does not matter whether the actor thought otherwise.</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7"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engaged in</w:t>
      </w:r>
    </w:p>
    <w:p>
      <w:pPr>
        <w:pageBreakBefore w:val="false"/>
        <w:spacing w:before="321" w:after="0" w:line="320"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applicable alternative(s):</w:t>
      </w:r>
    </w:p>
    <w:p>
      <w:pPr>
        <w:pageBreakBefore w:val="false"/>
        <w:spacing w:before="7" w:after="0" w:line="31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oral sexual conduct [or ]</w:t>
      </w:r>
    </w:p>
    <w:p>
      <w:pPr>
        <w:pageBreakBefore w:val="false"/>
        <w:spacing w:before="4" w:after="0" w:line="31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anal sexual conduct</w:t>
      </w:r>
    </w:p>
    <w:p>
      <w:pPr>
        <w:pageBreakBefore w:val="false"/>
        <w:spacing w:before="331" w:after="0" w:line="322" w:lineRule="exact"/>
        <w:ind w:right="0" w:left="144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with </w:t>
      </w:r>
      <w:r>
        <w:rPr>
          <w:rFonts w:ascii="Arial" w:hAnsi="Arial" w:eastAsia="Arial"/>
          <w:strike w:val="false"/>
          <w:color w:val="000000"/>
          <w:spacing w:val="2"/>
          <w:w w:val="100"/>
          <w:sz w:val="28"/>
          <w:u w:val="single"/>
          <w:vertAlign w:val="baseline"/>
          <w:lang w:val="en-US"/>
        </w:rPr>
        <w:t xml:space="preserve"> (</w:t>
      </w:r>
      <w:r>
        <w:rPr>
          <w:rFonts w:ascii="Arial" w:hAnsi="Arial" w:eastAsia="Arial"/>
          <w:i w:val="true"/>
          <w:strike w:val="false"/>
          <w:color w:val="000000"/>
          <w:spacing w:val="2"/>
          <w:w w:val="100"/>
          <w:sz w:val="28"/>
          <w:u w:val="single"/>
          <w:vertAlign w:val="baseline"/>
          <w:lang w:val="en-US"/>
        </w:rPr>
        <w:t xml:space="preserve">name of complainant</w:t>
      </w:r>
      <w:r>
        <w:rPr>
          <w:rFonts w:ascii="Arial" w:hAnsi="Arial" w:eastAsia="Arial"/>
          <w:strike w:val="false"/>
          <w:color w:val="000000"/>
          <w:spacing w:val="2"/>
          <w:w w:val="100"/>
          <w:sz w:val="28"/>
          <w:u w:val="single"/>
          <w:vertAlign w:val="baseline"/>
          <w:lang w:val="en-US"/>
        </w:rPr>
        <w:t xml:space="preserve">) </w:t>
      </w:r>
      <w:r>
        <w:rPr>
          <w:rFonts w:ascii="Arial" w:hAnsi="Arial" w:eastAsia="Arial"/>
          <w:strike w:val="false"/>
          <w:color w:val="000000"/>
          <w:spacing w:val="2"/>
          <w:w w:val="100"/>
          <w:sz w:val="28"/>
          <w:vertAlign w:val="baseline"/>
          <w:lang w:val="en-US"/>
        </w:rPr>
        <w:t xml:space="preserve"> ; and</w:t>
      </w:r>
    </w:p>
    <w:p>
      <w:pPr>
        <w:pageBreakBefore w:val="false"/>
        <w:numPr>
          <w:ilvl w:val="0"/>
          <w:numId w:val="1"/>
        </w:numPr>
        <w:tabs>
          <w:tab w:val="clear" w:pos="720"/>
          <w:tab w:val="left" w:pos="1440"/>
        </w:tabs>
        <w:spacing w:before="321"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consent.</w:t>
      </w:r>
    </w:p>
    <w:p>
      <w:pPr>
        <w:pageBreakBefore w:val="false"/>
        <w:spacing w:before="322" w:after="222" w:line="321"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the People have proven beyond a reasonable doubt both of those elements, you must find the defendant guilty</w:t>
      </w:r>
    </w:p>
    <w:p>
      <w:pPr>
        <w:pageBreakBefore w:val="false"/>
        <w:spacing w:before="259" w:after="0" w:line="273" w:lineRule="exact"/>
        <w:ind w:right="0" w:left="0" w:firstLine="0"/>
        <w:jc w:val="left"/>
        <w:textAlignment w:val="baseline"/>
        <w:rPr>
          <w:rFonts w:ascii="Arial" w:hAnsi="Arial" w:eastAsia="Arial"/>
          <w:strike w:val="false"/>
          <w:color w:val="000000"/>
          <w:spacing w:val="2"/>
          <w:w w:val="100"/>
          <w:sz w:val="14"/>
          <w:vertAlign w:val="superscript"/>
          <w:lang w:val="en-US"/>
        </w:rPr>
      </w:pPr>
      <w:r>
        <w:pict>
          <v:line strokeweight="1.2pt" strokecolor="#000000" from="107.85pt,633.35pt" to="252.05pt,633.35pt" style="position:absolute;mso-position-horizontal-relative:page;mso-position-vertical-relative:page;">
            <v:stroke dashstyle="solid"/>
          </v:line>
        </w:pict>
      </w:r>
      <w:r>
        <w:rPr>
          <w:rFonts w:ascii="Arial" w:hAnsi="Arial" w:eastAsia="Arial"/>
          <w:strike w:val="false"/>
          <w:color w:val="000000"/>
          <w:spacing w:val="2"/>
          <w:w w:val="100"/>
          <w:sz w:val="14"/>
          <w:vertAlign w:val="superscript"/>
          <w:lang w:val="en-US"/>
        </w:rPr>
        <w:t xml:space="preserve">4</w:t>
      </w:r>
      <w:r>
        <w:rPr>
          <w:rFonts w:ascii="Arial" w:hAnsi="Arial" w:eastAsia="Arial"/>
          <w:strike w:val="false"/>
          <w:color w:val="000000"/>
          <w:spacing w:val="2"/>
          <w:w w:val="100"/>
          <w:sz w:val="24"/>
          <w:vertAlign w:val="baseline"/>
          <w:lang w:val="en-US"/>
        </w:rPr>
        <w:t xml:space="preserve"> Penal Law § 130.00(2)(b).</w:t>
      </w:r>
    </w:p>
    <w:p>
      <w:pPr>
        <w:pageBreakBefore w:val="false"/>
        <w:spacing w:before="246" w:after="0" w:line="273" w:lineRule="exact"/>
        <w:ind w:right="0" w:left="0" w:firstLine="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5</w:t>
      </w:r>
      <w:r>
        <w:rPr>
          <w:rFonts w:ascii="Arial" w:hAnsi="Arial" w:eastAsia="Arial"/>
          <w:i w:val="true"/>
          <w:strike w:val="false"/>
          <w:color w:val="000000"/>
          <w:spacing w:val="1"/>
          <w:w w:val="100"/>
          <w:sz w:val="24"/>
          <w:vertAlign w:val="baseline"/>
          <w:lang w:val="en-US"/>
        </w:rPr>
        <w:t xml:space="preserve"> See </w:t>
      </w:r>
      <w:r>
        <w:rPr>
          <w:rFonts w:ascii="Arial" w:hAnsi="Arial" w:eastAsia="Arial"/>
          <w:strike w:val="false"/>
          <w:color w:val="000000"/>
          <w:spacing w:val="1"/>
          <w:w w:val="100"/>
          <w:sz w:val="24"/>
          <w:vertAlign w:val="baseline"/>
          <w:lang w:val="en-US"/>
        </w:rPr>
        <w:t xml:space="preserve">Penal Law § 130.05(2)(d).</w:t>
      </w:r>
    </w:p>
    <w:p>
      <w:pPr>
        <w:pageBreakBefore w:val="false"/>
        <w:spacing w:before="247" w:after="0" w:line="273"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 People v. Newton</w:t>
      </w:r>
      <w:r>
        <w:rPr>
          <w:rFonts w:ascii="Arial" w:hAnsi="Arial" w:eastAsia="Arial"/>
          <w:strike w:val="false"/>
          <w:color w:val="000000"/>
          <w:spacing w:val="0"/>
          <w:w w:val="100"/>
          <w:sz w:val="24"/>
          <w:vertAlign w:val="baseline"/>
          <w:lang w:val="en-US"/>
        </w:rPr>
        <w:t xml:space="preserve">, 8 NY3d 460, 464 (2007)</w:t>
      </w:r>
    </w:p>
    <w:p>
      <w:pPr>
        <w:pageBreakBefore w:val="false"/>
        <w:spacing w:before="249" w:after="0" w:line="297"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p>
      <w:pPr>
        <w:sectPr>
          <w:type w:val="nextPage"/>
          <w:pgSz w:w="12240" w:h="15840" w:orient="portrait"/>
          <w:pgMar w:bottom="664" w:top="1080" w:right="2143" w:left="2157" w:header="720" w:footer="720"/>
          <w:titlePg w:val="false"/>
          <w:textDirection w:val="lrTb"/>
        </w:sectPr>
      </w:pPr>
    </w:p>
    <w:p>
      <w:pPr>
        <w:pageBreakBefore w:val="false"/>
        <w:spacing w:before="8"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this crime.</w:t>
      </w:r>
    </w:p>
    <w:p>
      <w:pPr>
        <w:pageBreakBefore w:val="false"/>
        <w:spacing w:before="329" w:after="11764"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9" w:after="11764" w:line="324" w:lineRule="exact"/>
        <w:sectPr>
          <w:type w:val="nextPage"/>
          <w:pgSz w:w="12240" w:h="15840" w:orient="portrait"/>
          <w:pgMar w:bottom="664" w:top="1080" w:right="2147" w:left="2153"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3</w:t>
      </w:r>
    </w:p>
    <w:sectPr>
      <w:type w:val="continuous"/>
      <w:pgSz w:w="12240" w:h="15840" w:orient="portrait"/>
      <w:pgMar w:bottom="664" w:top="108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