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9FE9" w14:textId="26E5F5AA" w:rsidR="001E7992" w:rsidRPr="001E7992" w:rsidRDefault="001E7992" w:rsidP="001E7992">
      <w:pPr>
        <w:spacing w:before="8" w:line="331" w:lineRule="exact"/>
        <w:jc w:val="center"/>
        <w:textAlignment w:val="baseline"/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RAPE IN THE SECOND DEGREE 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>(</w:t>
      </w:r>
      <w:r w:rsidR="00700B69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Oral</w:t>
      </w:r>
      <w:r w:rsidR="00641554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 Sexual Contact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 - 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 xml:space="preserve">Mentally Disabled or Incapacitated) 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>Penal Law § 130.30 (</w:t>
      </w:r>
      <w:r w:rsidR="0000275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5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)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 xml:space="preserve">(Committed on or after </w:t>
      </w:r>
      <w:r w:rsidR="000F0924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Sept </w:t>
      </w:r>
      <w:r w:rsidR="00BA48F1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1, 2024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)</w:t>
      </w:r>
    </w:p>
    <w:p w14:paraId="4E0966AA" w14:textId="77777777" w:rsidR="001E7992" w:rsidRPr="001E7992" w:rsidRDefault="001E7992" w:rsidP="001E7992">
      <w:pPr>
        <w:spacing w:before="323" w:line="324" w:lineRule="exact"/>
        <w:jc w:val="center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(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specify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 count is Rape in the Second Degree.</w:t>
      </w:r>
    </w:p>
    <w:p w14:paraId="59B46A5D" w14:textId="27D37C68" w:rsidR="001E7992" w:rsidRPr="001E7992" w:rsidRDefault="001E7992" w:rsidP="001E7992">
      <w:pPr>
        <w:spacing w:before="321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Under our law, a person is guilty of Rape in the Second Degree when he or she engages in </w:t>
      </w:r>
      <w:r w:rsidR="00700B6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another person who is incapable of consent by reason of being:</w:t>
      </w:r>
    </w:p>
    <w:p w14:paraId="6F44D9BD" w14:textId="77777777" w:rsidR="001E7992" w:rsidRDefault="001E7992" w:rsidP="001E7992">
      <w:pPr>
        <w:spacing w:before="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</w:p>
    <w:p w14:paraId="79614D1F" w14:textId="1C046289" w:rsidR="001E7992" w:rsidRPr="001E7992" w:rsidRDefault="001E7992" w:rsidP="001E7992">
      <w:pPr>
        <w:spacing w:before="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  <w:r w:rsidRPr="001E7992"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  <w:t>Select appropriate alternative:</w:t>
      </w:r>
    </w:p>
    <w:p w14:paraId="24D88836" w14:textId="77777777" w:rsidR="001E7992" w:rsidRPr="001E7992" w:rsidRDefault="001E7992" w:rsidP="001E7992">
      <w:pPr>
        <w:spacing w:before="0"/>
        <w:rPr>
          <w:rFonts w:ascii="Arial" w:eastAsia="PMingLiU" w:hAnsi="Arial" w:cs="Arial"/>
          <w:i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mentally disabled </w:t>
      </w:r>
    </w:p>
    <w:p w14:paraId="21EE5377" w14:textId="77777777" w:rsid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mentally incapacitated.</w:t>
      </w:r>
    </w:p>
    <w:p w14:paraId="6D0C4EF9" w14:textId="77777777" w:rsidR="001E7992" w:rsidRP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</w:pPr>
    </w:p>
    <w:p w14:paraId="4F04B985" w14:textId="77777777" w:rsidR="001E7992" w:rsidRPr="001E7992" w:rsidRDefault="001E7992" w:rsidP="001E7992">
      <w:pPr>
        <w:spacing w:before="100" w:beforeAutospacing="1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following terms used in that definition have a special meaning:</w:t>
      </w:r>
    </w:p>
    <w:p w14:paraId="654E52A9" w14:textId="6D770C0C" w:rsidR="001E7992" w:rsidRPr="0072263A" w:rsidRDefault="00B906D4" w:rsidP="0072263A">
      <w:pPr>
        <w:spacing w:before="329" w:line="319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F37ADD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 SEXUAL CONTACT means conduct between persons consisting of contact between the mouth and the penis, the mouth and the anus, or the mouth and the vulva or vagina.</w:t>
      </w:r>
      <w:r w:rsidR="001E7992" w:rsidRPr="001E7992">
        <w:rPr>
          <w:rFonts w:ascii="Arial" w:eastAsia="Arial" w:hAnsi="Arial" w:cs="Arial"/>
          <w:color w:val="000000"/>
          <w:kern w:val="0"/>
          <w:sz w:val="28"/>
          <w:szCs w:val="28"/>
          <w:vertAlign w:val="superscript"/>
          <w14:ligatures w14:val="none"/>
        </w:rPr>
        <w:footnoteReference w:id="1"/>
      </w:r>
    </w:p>
    <w:p w14:paraId="5B27AC28" w14:textId="77777777" w:rsidR="001E7992" w:rsidRP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</w:pPr>
    </w:p>
    <w:p w14:paraId="3347E0CF" w14:textId="31F860E0" w:rsidR="001E7992" w:rsidRPr="001E7992" w:rsidRDefault="001E7992" w:rsidP="001E7992">
      <w:pPr>
        <w:spacing w:before="0"/>
        <w:ind w:firstLine="720"/>
        <w:jc w:val="both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It is an element of this crime that the </w:t>
      </w:r>
      <w:r w:rsidR="00700B69">
        <w:rPr>
          <w:rFonts w:ascii="Arial" w:eastAsia="PMingLiU" w:hAnsi="Arial" w:cs="Arial"/>
          <w:kern w:val="0"/>
          <w:sz w:val="28"/>
          <w:szCs w:val="28"/>
          <w14:ligatures w14:val="none"/>
        </w:rPr>
        <w:t>oral</w:t>
      </w: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sexual contact takes place without consent.</w:t>
      </w:r>
      <w:r w:rsidRPr="001E7992">
        <w:rPr>
          <w:rFonts w:ascii="Arial" w:eastAsia="Arial" w:hAnsi="Arial" w:cs="Arial"/>
          <w:color w:val="000000"/>
          <w:kern w:val="0"/>
          <w:sz w:val="28"/>
          <w:szCs w:val="28"/>
          <w:vertAlign w:val="superscript"/>
          <w14:ligatures w14:val="none"/>
        </w:rPr>
        <w:footnoteReference w:id="2"/>
      </w: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</w:t>
      </w:r>
      <w:r w:rsidR="00700B69">
        <w:rPr>
          <w:rFonts w:ascii="Arial" w:eastAsia="PMingLiU" w:hAnsi="Arial" w:cs="Arial"/>
          <w:kern w:val="0"/>
          <w:sz w:val="28"/>
          <w:szCs w:val="28"/>
          <w14:ligatures w14:val="none"/>
        </w:rPr>
        <w:t>Oral</w:t>
      </w: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sexual contact takes place without a person's consent when that person is deemed by law to be incapable of consent. Under our law, a person is deemed INCAPABLE OF CONSENTING to </w:t>
      </w:r>
      <w:r w:rsidR="00700B69">
        <w:rPr>
          <w:rFonts w:ascii="Arial" w:eastAsia="PMingLiU" w:hAnsi="Arial" w:cs="Arial"/>
          <w:kern w:val="0"/>
          <w:sz w:val="28"/>
          <w:szCs w:val="28"/>
          <w14:ligatures w14:val="none"/>
        </w:rPr>
        <w:t>oral</w:t>
      </w: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sexual contact when that person is: </w:t>
      </w:r>
    </w:p>
    <w:p w14:paraId="136F333D" w14:textId="77777777" w:rsidR="001E7992" w:rsidRDefault="001E7992" w:rsidP="001E7992">
      <w:pPr>
        <w:spacing w:before="0"/>
        <w:rPr>
          <w:rFonts w:eastAsia="PMingLiU"/>
          <w:kern w:val="0"/>
          <w:sz w:val="22"/>
          <w:szCs w:val="22"/>
          <w14:ligatures w14:val="none"/>
        </w:rPr>
      </w:pPr>
    </w:p>
    <w:p w14:paraId="0E1B2802" w14:textId="77777777" w:rsidR="001E7992" w:rsidRPr="001E7992" w:rsidRDefault="001E7992" w:rsidP="001E7992">
      <w:pPr>
        <w:spacing w:before="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  <w:r w:rsidRPr="001E7992"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  <w:t>Select appropriate alternative:</w:t>
      </w:r>
    </w:p>
    <w:p w14:paraId="42DA9970" w14:textId="77777777" w:rsidR="001E7992" w:rsidRPr="001E7992" w:rsidRDefault="001E7992" w:rsidP="001E7992">
      <w:pPr>
        <w:spacing w:before="0"/>
        <w:rPr>
          <w:rFonts w:ascii="Arial" w:eastAsia="PMingLiU" w:hAnsi="Arial" w:cs="Arial"/>
          <w:i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mentally disabled </w:t>
      </w:r>
    </w:p>
    <w:p w14:paraId="6788409C" w14:textId="363533D1" w:rsidR="001E7992" w:rsidRP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  <w:sectPr w:rsidR="001E7992" w:rsidRPr="001E7992">
          <w:pgSz w:w="12240" w:h="15840"/>
          <w:pgMar w:top="1440" w:right="2140" w:bottom="1004" w:left="2160" w:header="720" w:footer="720" w:gutter="0"/>
          <w:cols w:space="720"/>
        </w:sect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mentally incapacitated.</w:t>
      </w:r>
      <w:r>
        <w:rPr>
          <w:rStyle w:val="FootnoteReference"/>
          <w:rFonts w:eastAsia="PMingLiU"/>
          <w:kern w:val="0"/>
          <w:sz w:val="22"/>
          <w:szCs w:val="22"/>
          <w14:ligatures w14:val="none"/>
        </w:rPr>
        <w:footnoteReference w:id="3"/>
      </w:r>
    </w:p>
    <w:p w14:paraId="65F90D0B" w14:textId="77777777" w:rsidR="001E7992" w:rsidRPr="001E7992" w:rsidRDefault="001E7992" w:rsidP="001E7992">
      <w:pPr>
        <w:spacing w:before="1" w:line="325" w:lineRule="exact"/>
        <w:jc w:val="both"/>
        <w:textAlignment w:val="baseline"/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</w:pPr>
      <w:r w:rsidRPr="001E7992"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  <w:lastRenderedPageBreak/>
        <w:t>Select appropriate definition:</w:t>
      </w:r>
    </w:p>
    <w:p w14:paraId="3B96F713" w14:textId="77777777" w:rsidR="001E7992" w:rsidRDefault="001E7992" w:rsidP="001E7992">
      <w:pPr>
        <w:spacing w:before="1" w:line="325" w:lineRule="exact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</w:p>
    <w:p w14:paraId="71239196" w14:textId="1E764DE4" w:rsidR="001E7992" w:rsidRPr="001E7992" w:rsidRDefault="001E7992" w:rsidP="001E7992">
      <w:pPr>
        <w:spacing w:before="1" w:line="325" w:lineRule="exact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MENTALLY DISABLED means that a person suffers from a mental disease or defect which renders him or her incapable of appraising the nature of his or her conduct.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t>4</w:t>
      </w:r>
      <w:r w:rsidRPr="001E7992">
        <w:rPr>
          <w:rFonts w:ascii="Arial" w:eastAsia="Arial" w:hAnsi="Arial"/>
          <w:color w:val="000000"/>
          <w:kern w:val="0"/>
          <w:sz w:val="17"/>
          <w:szCs w:val="22"/>
          <w14:ligatures w14:val="none"/>
        </w:rPr>
        <w:t xml:space="preserve"> </w:t>
      </w:r>
    </w:p>
    <w:p w14:paraId="7C951D6D" w14:textId="77777777" w:rsidR="001E7992" w:rsidRPr="001E7992" w:rsidRDefault="001E7992" w:rsidP="001E7992">
      <w:pPr>
        <w:spacing w:before="327" w:line="325" w:lineRule="exact"/>
        <w:ind w:left="1440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[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>Add if applicable:</w:t>
      </w:r>
    </w:p>
    <w:p w14:paraId="7F96DB33" w14:textId="77777777" w:rsidR="001E7992" w:rsidRPr="001E7992" w:rsidRDefault="001E7992" w:rsidP="001E7992">
      <w:pPr>
        <w:spacing w:before="310" w:line="325" w:lineRule="exact"/>
        <w:ind w:left="1440" w:firstLine="720"/>
        <w:jc w:val="both"/>
        <w:textAlignment w:val="baseline"/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  <w:t>It is a defense to this charge that the defendant was married to the victim.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:vertAlign w:val="superscript"/>
          <w14:ligatures w14:val="none"/>
        </w:rPr>
        <w:t>5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  <w:t xml:space="preserve"> "Married" means the existence of the relationship between the defendant and the victim as spouses which was recognized by law at the time of the alleged commission of this charge crime.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:vertAlign w:val="superscript"/>
          <w14:ligatures w14:val="none"/>
        </w:rPr>
        <w:t>6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  <w:t>]</w:t>
      </w:r>
    </w:p>
    <w:p w14:paraId="5964366D" w14:textId="45F429BD" w:rsidR="001E7992" w:rsidRPr="001E7992" w:rsidRDefault="001E7992" w:rsidP="001E7992">
      <w:pPr>
        <w:spacing w:before="311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MENTALLY INCAPACITATED means that a person is rendered temporarily incapable of appraising or controlling his or her conduct owing to the influence of a narcotic or intoxicating substance administered to him or her without his or her consent, or to any other act committed upon him without his or her consent. 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t>7</w:t>
      </w:r>
    </w:p>
    <w:p w14:paraId="7488DA06" w14:textId="1A6986A3" w:rsidR="001E7992" w:rsidRPr="001E7992" w:rsidRDefault="001E7992" w:rsidP="001E7992">
      <w:pPr>
        <w:spacing w:before="336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Thus, the law deems </w:t>
      </w:r>
      <w:r w:rsidR="00700B6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such a person to be without that person's consent, even if in fact that person did consent.</w:t>
      </w:r>
    </w:p>
    <w:p w14:paraId="4120FDA2" w14:textId="0D70E59C" w:rsidR="001E7992" w:rsidRDefault="001E7992" w:rsidP="001E7992">
      <w:pPr>
        <w:spacing w:before="318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In order for you to find the defendant guilty of this crime, the People are required to prove, from all of the evidence in the case, beyond a reasonable doubt, (both/each) of the following (two/three) elements</w:t>
      </w:r>
      <w:r w:rsid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:</w:t>
      </w:r>
    </w:p>
    <w:p w14:paraId="56D8E6F6" w14:textId="77777777" w:rsidR="001E7992" w:rsidRPr="001E7992" w:rsidRDefault="001E7992" w:rsidP="001E7992">
      <w:pPr>
        <w:spacing w:before="318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</w:p>
    <w:p w14:paraId="3AC32098" w14:textId="77777777" w:rsidR="001E7992" w:rsidRPr="001E7992" w:rsidRDefault="000F0924" w:rsidP="001E7992">
      <w:pPr>
        <w:spacing w:before="252" w:line="276" w:lineRule="exact"/>
        <w:textAlignment w:val="baseline"/>
        <w:rPr>
          <w:rFonts w:ascii="Arial" w:eastAsia="Arial" w:hAnsi="Arial"/>
          <w:color w:val="000000"/>
          <w:spacing w:val="-1"/>
          <w:kern w:val="0"/>
          <w:sz w:val="22"/>
          <w:szCs w:val="22"/>
          <w:vertAlign w:val="superscript"/>
          <w14:ligatures w14:val="none"/>
        </w:rPr>
      </w:pPr>
      <w:r>
        <w:rPr>
          <w:rFonts w:eastAsia="PMingLiU"/>
          <w:kern w:val="0"/>
          <w:sz w:val="22"/>
          <w:szCs w:val="22"/>
          <w14:ligatures w14:val="none"/>
        </w:rPr>
        <w:pict w14:anchorId="74E1852A">
          <v:line id="_x0000_s1026" style="position:absolute;z-index:251659264;mso-position-horizontal-relative:page;mso-position-vertical-relative:page" from="107.85pt,579.35pt" to="252.05pt,579.35pt" strokeweight=".95pt">
            <w10:wrap anchorx="page" anchory="page"/>
          </v:line>
        </w:pict>
      </w:r>
      <w:r w:rsidR="001E7992" w:rsidRPr="001E7992">
        <w:rPr>
          <w:rFonts w:ascii="Arial" w:eastAsia="Arial" w:hAnsi="Arial"/>
          <w:color w:val="000000"/>
          <w:spacing w:val="-1"/>
          <w:kern w:val="0"/>
          <w:sz w:val="22"/>
          <w:szCs w:val="22"/>
          <w:vertAlign w:val="superscript"/>
          <w14:ligatures w14:val="none"/>
        </w:rPr>
        <w:t>4</w:t>
      </w:r>
      <w:r w:rsidR="001E7992" w:rsidRPr="001E7992">
        <w:rPr>
          <w:rFonts w:ascii="Arial" w:eastAsia="Arial" w:hAnsi="Arial"/>
          <w:color w:val="000000"/>
          <w:spacing w:val="-1"/>
          <w:kern w:val="0"/>
          <w:sz w:val="22"/>
          <w:szCs w:val="22"/>
          <w14:ligatures w14:val="none"/>
        </w:rPr>
        <w:t xml:space="preserve"> Penal Law § 130.00 (5).</w:t>
      </w:r>
    </w:p>
    <w:p w14:paraId="6AC640E8" w14:textId="77777777" w:rsidR="001E7992" w:rsidRPr="001E7992" w:rsidRDefault="001E7992" w:rsidP="001E7992">
      <w:pPr>
        <w:spacing w:before="242" w:line="276" w:lineRule="exact"/>
        <w:textAlignment w:val="baseline"/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  <w:t>5</w:t>
      </w:r>
      <w:r w:rsidRPr="001E7992">
        <w:rPr>
          <w:rFonts w:ascii="Arial" w:eastAsia="Arial" w:hAnsi="Arial"/>
          <w:i/>
          <w:color w:val="000000"/>
          <w:kern w:val="0"/>
          <w:sz w:val="22"/>
          <w:szCs w:val="22"/>
          <w14:ligatures w14:val="none"/>
        </w:rPr>
        <w:t xml:space="preserve"> See 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>Penal Law § 130.10 (4).</w:t>
      </w:r>
    </w:p>
    <w:p w14:paraId="52B4EE61" w14:textId="77777777" w:rsidR="001E7992" w:rsidRPr="001E7992" w:rsidRDefault="001E7992" w:rsidP="001E7992">
      <w:pPr>
        <w:spacing w:before="240" w:line="281" w:lineRule="exact"/>
        <w:jc w:val="both"/>
        <w:textAlignment w:val="baseline"/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  <w:t>6</w:t>
      </w:r>
      <w:r w:rsidRPr="001E7992">
        <w:rPr>
          <w:rFonts w:ascii="Arial" w:eastAsia="Arial" w:hAnsi="Arial"/>
          <w:i/>
          <w:color w:val="000000"/>
          <w:kern w:val="0"/>
          <w:sz w:val="22"/>
          <w:szCs w:val="22"/>
          <w14:ligatures w14:val="none"/>
        </w:rPr>
        <w:t xml:space="preserve"> See 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 xml:space="preserve">Penal Law § 130.00 (4). </w:t>
      </w:r>
      <w:r w:rsidRPr="001E7992">
        <w:rPr>
          <w:rFonts w:ascii="Arial" w:eastAsia="Arial" w:hAnsi="Arial"/>
          <w:i/>
          <w:color w:val="000000"/>
          <w:kern w:val="0"/>
          <w:sz w:val="22"/>
          <w:szCs w:val="22"/>
          <w14:ligatures w14:val="none"/>
        </w:rPr>
        <w:t xml:space="preserve">See 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>Domestic Relations Law §§ 15 and 15-a.</w:t>
      </w:r>
    </w:p>
    <w:p w14:paraId="0229E0E0" w14:textId="77777777" w:rsidR="001E7992" w:rsidRPr="001E7992" w:rsidRDefault="001E7992" w:rsidP="001E7992">
      <w:pPr>
        <w:spacing w:before="237" w:line="276" w:lineRule="exact"/>
        <w:textAlignment w:val="baseline"/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  <w:t>7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 xml:space="preserve"> Penal Law § 130.00 (6).</w:t>
      </w:r>
    </w:p>
    <w:p w14:paraId="1BA4987D" w14:textId="77777777" w:rsidR="001E7992" w:rsidRPr="001E7992" w:rsidRDefault="001E7992" w:rsidP="001E7992">
      <w:pPr>
        <w:spacing w:before="240" w:line="227" w:lineRule="exact"/>
        <w:jc w:val="center"/>
        <w:textAlignment w:val="baseline"/>
        <w:rPr>
          <w:rFonts w:ascii="Arial" w:eastAsia="Arial" w:hAnsi="Arial"/>
          <w:color w:val="000000"/>
          <w:kern w:val="0"/>
          <w:sz w:val="20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0"/>
          <w:szCs w:val="22"/>
          <w14:ligatures w14:val="none"/>
        </w:rPr>
        <w:t>2</w:t>
      </w:r>
    </w:p>
    <w:p w14:paraId="147AC636" w14:textId="77777777" w:rsidR="001E7992" w:rsidRPr="001E7992" w:rsidRDefault="001E7992" w:rsidP="001E7992">
      <w:pPr>
        <w:spacing w:before="0"/>
        <w:rPr>
          <w:rFonts w:eastAsia="PMingLiU"/>
          <w:kern w:val="0"/>
          <w:sz w:val="22"/>
          <w:szCs w:val="22"/>
          <w14:ligatures w14:val="none"/>
        </w:rPr>
        <w:sectPr w:rsidR="001E7992" w:rsidRPr="001E7992">
          <w:pgSz w:w="12240" w:h="15840"/>
          <w:pgMar w:top="1440" w:right="2143" w:bottom="1024" w:left="2157" w:header="720" w:footer="720" w:gutter="0"/>
          <w:cols w:space="720"/>
        </w:sectPr>
      </w:pPr>
    </w:p>
    <w:p w14:paraId="0DEC6CB9" w14:textId="3983AB67" w:rsidR="00252649" w:rsidRPr="00252649" w:rsidRDefault="00252649" w:rsidP="00252649">
      <w:pPr>
        <w:pStyle w:val="ListParagraph"/>
        <w:numPr>
          <w:ilvl w:val="0"/>
          <w:numId w:val="2"/>
        </w:numPr>
        <w:tabs>
          <w:tab w:val="right" w:pos="7920"/>
        </w:tabs>
        <w:spacing w:before="326" w:after="394" w:line="325" w:lineRule="exact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lastRenderedPageBreak/>
        <w:t>That on or about (</w:t>
      </w:r>
      <w:r w:rsidRPr="00252649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date</w:t>
      </w:r>
      <w:r w:rsidRP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), in the county of (</w:t>
      </w:r>
      <w:r w:rsidRPr="00252649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County</w:t>
      </w:r>
      <w:r w:rsidRP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 the</w:t>
      </w:r>
    </w:p>
    <w:p w14:paraId="4512C515" w14:textId="1B0F1840" w:rsidR="001E7992" w:rsidRPr="001E7992" w:rsidRDefault="00252649" w:rsidP="00252649">
      <w:pPr>
        <w:pStyle w:val="ListParagraph"/>
        <w:tabs>
          <w:tab w:val="right" w:pos="7920"/>
        </w:tabs>
        <w:spacing w:before="326" w:after="394" w:line="325" w:lineRule="exact"/>
        <w:ind w:left="138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he</w:t>
      </w:r>
      <w:r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defendant (</w:t>
      </w:r>
      <w:r w:rsidR="001E7992"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defendant’s name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), engaged in </w:t>
      </w:r>
      <w:r w:rsidR="00700B6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(</w:t>
      </w:r>
      <w:r w:rsidR="001E7992"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complainant’s name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); and,</w:t>
      </w:r>
    </w:p>
    <w:p w14:paraId="7C1F8AB2" w14:textId="77777777" w:rsidR="001E7992" w:rsidRPr="001E7992" w:rsidRDefault="001E7992" w:rsidP="001E7992">
      <w:pPr>
        <w:numPr>
          <w:ilvl w:val="0"/>
          <w:numId w:val="1"/>
        </w:numPr>
        <w:tabs>
          <w:tab w:val="left" w:pos="1440"/>
        </w:tabs>
        <w:spacing w:before="325" w:line="324" w:lineRule="exact"/>
        <w:ind w:left="1440" w:hanging="720"/>
        <w:jc w:val="both"/>
        <w:textAlignment w:val="baseline"/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That (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complainant’s name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) was incapable of consent by reason of being </w:t>
      </w:r>
    </w:p>
    <w:p w14:paraId="6118C739" w14:textId="77777777" w:rsidR="001E7992" w:rsidRPr="001E7992" w:rsidRDefault="001E7992" w:rsidP="001E7992">
      <w:pPr>
        <w:spacing w:before="0"/>
        <w:ind w:left="144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  <w:r w:rsidRPr="001E7992"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  <w:t>Select appropriate alternative:</w:t>
      </w:r>
    </w:p>
    <w:p w14:paraId="0E9FB997" w14:textId="77777777" w:rsidR="001E7992" w:rsidRPr="001E7992" w:rsidRDefault="001E7992" w:rsidP="001E7992">
      <w:pPr>
        <w:spacing w:before="0"/>
        <w:ind w:left="1440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mentally disabled </w:t>
      </w:r>
    </w:p>
    <w:p w14:paraId="209F8E34" w14:textId="77777777" w:rsidR="001E7992" w:rsidRPr="001E7992" w:rsidRDefault="001E7992" w:rsidP="001E7992">
      <w:pPr>
        <w:spacing w:before="0"/>
        <w:ind w:left="1440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mentally incapacitated</w:t>
      </w:r>
    </w:p>
    <w:p w14:paraId="241F2B26" w14:textId="77777777" w:rsidR="001E7992" w:rsidRPr="001E7992" w:rsidRDefault="001E7992" w:rsidP="001E7992">
      <w:pPr>
        <w:tabs>
          <w:tab w:val="left" w:pos="1440"/>
        </w:tabs>
        <w:spacing w:before="325" w:line="324" w:lineRule="exact"/>
        <w:jc w:val="both"/>
        <w:textAlignment w:val="baseline"/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</w:pP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 xml:space="preserve"> [Add if applicable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:</w:t>
      </w:r>
    </w:p>
    <w:p w14:paraId="5AC70481" w14:textId="77777777" w:rsidR="001E7992" w:rsidRPr="001E7992" w:rsidRDefault="001E7992" w:rsidP="001E7992">
      <w:pPr>
        <w:numPr>
          <w:ilvl w:val="0"/>
          <w:numId w:val="1"/>
        </w:numPr>
        <w:tabs>
          <w:tab w:val="left" w:pos="1440"/>
        </w:tabs>
        <w:spacing w:before="2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That the defendant was not married to 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(name of complainant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u w:val="single"/>
          <w14:ligatures w14:val="none"/>
        </w:rPr>
        <w:t>)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.]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u w:val="single"/>
          <w14:ligatures w14:val="none"/>
        </w:rPr>
        <w:t xml:space="preserve"> </w:t>
      </w:r>
    </w:p>
    <w:p w14:paraId="2004AF71" w14:textId="77777777" w:rsidR="001E7992" w:rsidRPr="001E7992" w:rsidRDefault="001E7992" w:rsidP="001E7992">
      <w:pPr>
        <w:spacing w:before="321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If you find the People have proven beyond a reasonable doubt [both / each] of those elements, you must find the defendant guilty of this crime.</w:t>
      </w:r>
    </w:p>
    <w:p w14:paraId="6ECB4F13" w14:textId="77777777" w:rsidR="001E7992" w:rsidRPr="001E7992" w:rsidRDefault="001E7992" w:rsidP="001E7992">
      <w:pPr>
        <w:spacing w:before="324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spacing w:val="-3"/>
          <w:kern w:val="0"/>
          <w:sz w:val="28"/>
          <w:szCs w:val="22"/>
          <w14:ligatures w14:val="none"/>
        </w:rPr>
        <w:t>If you find the People have not proven beyond a reasonable doubt [either one / any one or more] of those elements, you must find the defendant not guilty of this crime.</w:t>
      </w:r>
    </w:p>
    <w:p w14:paraId="08A5819E" w14:textId="77777777" w:rsidR="001E7992" w:rsidRPr="001E7992" w:rsidRDefault="001E7992" w:rsidP="001E7992">
      <w:pPr>
        <w:spacing w:before="321" w:line="323" w:lineRule="exact"/>
        <w:ind w:firstLine="720"/>
        <w:jc w:val="both"/>
        <w:textAlignment w:val="baseline"/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>NOTE: If the affirmative defense set forth in Penal Law § 130.10 (1) applies, omit the final two paragraphs of the above charge, and substitute the applicable charge in the “additional charges” section from the end of this article.</w:t>
      </w:r>
    </w:p>
    <w:p w14:paraId="68CE855E" w14:textId="54145BA9" w:rsidR="00AD48FC" w:rsidRDefault="001E7992" w:rsidP="001E7992">
      <w:pPr>
        <w:spacing w:before="320" w:after="3343" w:line="323" w:lineRule="exact"/>
        <w:ind w:firstLine="720"/>
        <w:jc w:val="both"/>
        <w:textAlignment w:val="baseline"/>
      </w:pPr>
      <w:r w:rsidRPr="001E7992">
        <w:rPr>
          <w:rFonts w:ascii="Arial" w:eastAsia="Arial" w:hAnsi="Arial"/>
          <w:i/>
          <w:color w:val="000000"/>
          <w:spacing w:val="-2"/>
          <w:kern w:val="0"/>
          <w:sz w:val="28"/>
          <w:szCs w:val="22"/>
          <w14:ligatures w14:val="none"/>
        </w:rPr>
        <w:t xml:space="preserve">NOTE: Where lack of consent results solely from incapacity to consent because of the alleged victim's mental disability or mental incapacity, a charge on corroboration is required, and that charge is in the “additional charges” section of this article. Penal Law § </w:t>
      </w:r>
    </w:p>
    <w:sectPr w:rsidR="00AD48FC" w:rsidSect="001E7992">
      <w:pgSz w:w="12240" w:h="15840"/>
      <w:pgMar w:top="1440" w:right="2113" w:bottom="1024" w:left="2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8BD3" w14:textId="77777777" w:rsidR="001E7992" w:rsidRDefault="001E7992" w:rsidP="001E7992">
      <w:pPr>
        <w:spacing w:before="0"/>
      </w:pPr>
      <w:r>
        <w:separator/>
      </w:r>
    </w:p>
  </w:endnote>
  <w:endnote w:type="continuationSeparator" w:id="0">
    <w:p w14:paraId="4CCE9148" w14:textId="77777777" w:rsidR="001E7992" w:rsidRDefault="001E7992" w:rsidP="001E79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64CE" w14:textId="77777777" w:rsidR="001E7992" w:rsidRDefault="001E7992" w:rsidP="001E7992">
      <w:pPr>
        <w:spacing w:before="0"/>
      </w:pPr>
      <w:r>
        <w:separator/>
      </w:r>
    </w:p>
  </w:footnote>
  <w:footnote w:type="continuationSeparator" w:id="0">
    <w:p w14:paraId="2AE40AA6" w14:textId="77777777" w:rsidR="001E7992" w:rsidRDefault="001E7992" w:rsidP="001E7992">
      <w:pPr>
        <w:spacing w:before="0"/>
      </w:pPr>
      <w:r>
        <w:continuationSeparator/>
      </w:r>
    </w:p>
  </w:footnote>
  <w:footnote w:id="1">
    <w:p w14:paraId="47111649" w14:textId="724951E6" w:rsidR="001E7992" w:rsidRPr="001E7992" w:rsidRDefault="001E7992" w:rsidP="001E7992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1E7992">
        <w:rPr>
          <w:rStyle w:val="FootnoteReference"/>
          <w:rFonts w:ascii="Arial" w:hAnsi="Arial" w:cs="Arial"/>
          <w:sz w:val="22"/>
          <w:szCs w:val="22"/>
        </w:rPr>
        <w:footnoteRef/>
      </w:r>
      <w:r w:rsidRPr="001E7992">
        <w:rPr>
          <w:rFonts w:ascii="Arial" w:hAnsi="Arial" w:cs="Arial"/>
          <w:sz w:val="22"/>
          <w:szCs w:val="22"/>
        </w:rPr>
        <w:t xml:space="preserve"> </w:t>
      </w:r>
      <w:r w:rsidR="0072263A" w:rsidRPr="00165E41">
        <w:rPr>
          <w:rFonts w:ascii="Arial" w:hAnsi="Arial" w:cs="Arial"/>
          <w:sz w:val="22"/>
          <w:szCs w:val="22"/>
        </w:rPr>
        <w:t>Penal Law § 130.00(2)(</w:t>
      </w:r>
      <w:r w:rsidR="0072263A">
        <w:rPr>
          <w:rFonts w:ascii="Arial" w:hAnsi="Arial" w:cs="Arial"/>
          <w:sz w:val="22"/>
          <w:szCs w:val="22"/>
        </w:rPr>
        <w:t>a</w:t>
      </w:r>
      <w:r w:rsidR="0072263A" w:rsidRPr="00165E41">
        <w:rPr>
          <w:rFonts w:ascii="Arial" w:hAnsi="Arial" w:cs="Arial"/>
          <w:sz w:val="22"/>
          <w:szCs w:val="22"/>
        </w:rPr>
        <w:t>)</w:t>
      </w:r>
      <w:r w:rsidR="0072263A"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.</w:t>
      </w:r>
      <w:r w:rsidR="0072263A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  </w:t>
      </w:r>
    </w:p>
    <w:p w14:paraId="7590BE77" w14:textId="77777777" w:rsidR="001E7992" w:rsidRPr="001E7992" w:rsidRDefault="001E7992" w:rsidP="001E7992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4CE7D42A" w14:textId="77777777" w:rsidR="001E7992" w:rsidRPr="001E7992" w:rsidRDefault="001E7992" w:rsidP="001E7992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1E7992">
        <w:rPr>
          <w:rStyle w:val="FootnoteReference"/>
          <w:rFonts w:ascii="Arial" w:hAnsi="Arial" w:cs="Arial"/>
          <w:sz w:val="22"/>
          <w:szCs w:val="22"/>
        </w:rPr>
        <w:footnoteRef/>
      </w:r>
      <w:r w:rsidRPr="001E7992">
        <w:rPr>
          <w:rFonts w:ascii="Arial" w:hAnsi="Arial" w:cs="Arial"/>
          <w:sz w:val="22"/>
          <w:szCs w:val="22"/>
        </w:rPr>
        <w:t xml:space="preserve"> </w:t>
      </w:r>
      <w:r w:rsidRPr="001E7992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1E7992">
        <w:rPr>
          <w:rFonts w:ascii="Arial" w:eastAsia="Arial" w:hAnsi="Arial" w:cs="Arial"/>
          <w:color w:val="000000"/>
          <w:sz w:val="22"/>
          <w:szCs w:val="22"/>
        </w:rPr>
        <w:t>Penal Law § 130.05(1).</w:t>
      </w:r>
    </w:p>
    <w:p w14:paraId="59FC0AA7" w14:textId="77777777" w:rsidR="001E7992" w:rsidRPr="001E7992" w:rsidRDefault="001E7992" w:rsidP="001E7992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3">
    <w:p w14:paraId="097D38DA" w14:textId="7336D5CE" w:rsidR="001E7992" w:rsidRDefault="001E7992">
      <w:pPr>
        <w:pStyle w:val="FootnoteText"/>
      </w:pPr>
      <w:r w:rsidRPr="001E7992">
        <w:rPr>
          <w:rStyle w:val="FootnoteReference"/>
          <w:rFonts w:ascii="Arial" w:hAnsi="Arial" w:cs="Arial"/>
          <w:sz w:val="22"/>
          <w:szCs w:val="22"/>
        </w:rPr>
        <w:footnoteRef/>
      </w:r>
      <w:r w:rsidRPr="001E7992">
        <w:rPr>
          <w:rFonts w:ascii="Arial" w:hAnsi="Arial" w:cs="Arial"/>
          <w:sz w:val="22"/>
          <w:szCs w:val="22"/>
        </w:rPr>
        <w:t xml:space="preserve"> See Penal Law § 130.05(3)(b) and (c).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54F4C"/>
    <w:multiLevelType w:val="multilevel"/>
    <w:tmpl w:val="A47A4D50"/>
    <w:lvl w:ilvl="0">
      <w:start w:val="2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A7701F"/>
    <w:multiLevelType w:val="hybridMultilevel"/>
    <w:tmpl w:val="4CD86F30"/>
    <w:lvl w:ilvl="0" w:tplc="3CF03B88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903560">
    <w:abstractNumId w:val="0"/>
  </w:num>
  <w:num w:numId="2" w16cid:durableId="7054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992"/>
    <w:rsid w:val="00002752"/>
    <w:rsid w:val="00016B38"/>
    <w:rsid w:val="000D7EF3"/>
    <w:rsid w:val="000F0924"/>
    <w:rsid w:val="001049A6"/>
    <w:rsid w:val="00107997"/>
    <w:rsid w:val="001E7992"/>
    <w:rsid w:val="0022525A"/>
    <w:rsid w:val="00237BAF"/>
    <w:rsid w:val="00252649"/>
    <w:rsid w:val="00254815"/>
    <w:rsid w:val="00271926"/>
    <w:rsid w:val="002A308A"/>
    <w:rsid w:val="003035A9"/>
    <w:rsid w:val="00325F8B"/>
    <w:rsid w:val="00641554"/>
    <w:rsid w:val="0064449E"/>
    <w:rsid w:val="006B7884"/>
    <w:rsid w:val="006C54AB"/>
    <w:rsid w:val="006D3D1C"/>
    <w:rsid w:val="006F6B73"/>
    <w:rsid w:val="00700B69"/>
    <w:rsid w:val="0072263A"/>
    <w:rsid w:val="007C28E0"/>
    <w:rsid w:val="008F4156"/>
    <w:rsid w:val="009117E4"/>
    <w:rsid w:val="00926A14"/>
    <w:rsid w:val="00940E7F"/>
    <w:rsid w:val="0097343C"/>
    <w:rsid w:val="009E6219"/>
    <w:rsid w:val="00A649A0"/>
    <w:rsid w:val="00A6616E"/>
    <w:rsid w:val="00AD48FC"/>
    <w:rsid w:val="00B906D4"/>
    <w:rsid w:val="00BA48F1"/>
    <w:rsid w:val="00D61C8F"/>
    <w:rsid w:val="00E14619"/>
    <w:rsid w:val="00E3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1D77F5"/>
  <w15:chartTrackingRefBased/>
  <w15:docId w15:val="{FFDAC06D-6C39-4A71-8F7D-6907D95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uiPriority w:val="99"/>
    <w:rsid w:val="006F6B73"/>
  </w:style>
  <w:style w:type="paragraph" w:styleId="Index1">
    <w:name w:val="index 1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Index2">
    <w:name w:val="index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/>
    </w:pPr>
    <w:rPr>
      <w:rFonts w:eastAsia="Times New Roman"/>
    </w:rPr>
  </w:style>
  <w:style w:type="paragraph" w:styleId="TOC1">
    <w:name w:val="toc 1"/>
    <w:basedOn w:val="NoSpacing"/>
    <w:next w:val="NoSpacing"/>
    <w:autoRedefine/>
    <w:uiPriority w:val="39"/>
    <w:qFormat/>
    <w:rsid w:val="0010799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eastAsia="Times New Roman" w:cs="Courier New"/>
      <w:szCs w:val="20"/>
    </w:rPr>
  </w:style>
  <w:style w:type="paragraph" w:styleId="TOC2">
    <w:name w:val="toc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3">
    <w:name w:val="toc 3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4">
    <w:name w:val="toc 4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5">
    <w:name w:val="toc 5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6">
    <w:name w:val="toc 6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7">
    <w:name w:val="toc 7"/>
    <w:basedOn w:val="Normal"/>
    <w:next w:val="Normal"/>
    <w:uiPriority w:val="99"/>
    <w:rsid w:val="006F6B73"/>
    <w:pPr>
      <w:suppressAutoHyphens/>
      <w:spacing w:line="240" w:lineRule="atLeast"/>
      <w:ind w:left="720" w:hanging="720"/>
    </w:pPr>
    <w:rPr>
      <w:rFonts w:eastAsia="Times New Roman"/>
    </w:rPr>
  </w:style>
  <w:style w:type="paragraph" w:styleId="TOC8">
    <w:name w:val="toc 8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9">
    <w:name w:val="toc 9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6F6B73"/>
    <w:rPr>
      <w:rFonts w:eastAsia="Times New Roman"/>
    </w:rPr>
  </w:style>
  <w:style w:type="character" w:customStyle="1" w:styleId="FootnoteTextChar">
    <w:name w:val="Footnote Text Char"/>
    <w:link w:val="Foot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F6B73"/>
    <w:rPr>
      <w:rFonts w:eastAsia="Times New Roman"/>
    </w:rPr>
  </w:style>
  <w:style w:type="character" w:styleId="FootnoteReference">
    <w:name w:val="footnote reference"/>
    <w:uiPriority w:val="99"/>
    <w:rsid w:val="006F6B73"/>
    <w:rPr>
      <w:vertAlign w:val="superscript"/>
    </w:rPr>
  </w:style>
  <w:style w:type="character" w:styleId="EndnoteReference">
    <w:name w:val="endnote reference"/>
    <w:uiPriority w:val="99"/>
    <w:rsid w:val="006F6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F6B73"/>
    <w:rPr>
      <w:rFonts w:eastAsia="Times New Roman"/>
    </w:rPr>
  </w:style>
  <w:style w:type="character" w:customStyle="1" w:styleId="EndnoteTextChar">
    <w:name w:val="Endnote Text Char"/>
    <w:link w:val="End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TOAHeading">
    <w:name w:val="toa heading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</w:pPr>
    <w:rPr>
      <w:rFonts w:eastAsia="Times New Roman"/>
    </w:rPr>
  </w:style>
  <w:style w:type="paragraph" w:styleId="NoSpacing">
    <w:name w:val="No Spacing"/>
    <w:uiPriority w:val="1"/>
    <w:qFormat/>
    <w:rsid w:val="00107997"/>
    <w:pPr>
      <w:spacing w:before="0"/>
    </w:pPr>
  </w:style>
  <w:style w:type="paragraph" w:styleId="ListParagraph">
    <w:name w:val="List Paragraph"/>
    <w:basedOn w:val="Normal"/>
    <w:uiPriority w:val="34"/>
    <w:qFormat/>
    <w:rsid w:val="00252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F21A-903B-43B0-88F4-9100746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Donnino</dc:creator>
  <cp:keywords/>
  <dc:description/>
  <cp:lastModifiedBy>Bill Donnino</cp:lastModifiedBy>
  <cp:revision>10</cp:revision>
  <cp:lastPrinted>2023-07-01T21:08:00Z</cp:lastPrinted>
  <dcterms:created xsi:type="dcterms:W3CDTF">2023-07-01T21:03:00Z</dcterms:created>
  <dcterms:modified xsi:type="dcterms:W3CDTF">2024-01-15T17:54:00Z</dcterms:modified>
</cp:coreProperties>
</file>