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15" w:after="0" w:line="363"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SEXUAL ABUSE THIRD DEGREE</w:t>
        <w:br/>
      </w:r>
      <w:r>
        <w:rPr>
          <w:rFonts w:ascii="Arial" w:hAnsi="Arial" w:eastAsia="Arial"/>
          <w:b w:val="true"/>
          <w:color w:val="000000"/>
          <w:spacing w:val="0"/>
          <w:w w:val="100"/>
          <w:sz w:val="28"/>
          <w:vertAlign w:val="baseline"/>
          <w:lang w:val="en-US"/>
        </w:rPr>
        <w:t xml:space="preserve">(Forcible Compulsion)</w:t>
        <w:br/>
      </w:r>
      <w:r>
        <w:rPr>
          <w:rFonts w:ascii="Arial" w:hAnsi="Arial" w:eastAsia="Arial"/>
          <w:b w:val="true"/>
          <w:color w:val="000000"/>
          <w:spacing w:val="0"/>
          <w:w w:val="100"/>
          <w:sz w:val="28"/>
          <w:vertAlign w:val="baseline"/>
          <w:lang w:val="en-US"/>
        </w:rPr>
        <w:t xml:space="preserve">Penal Law § 130.55</w:t>
        <w:br/>
      </w:r>
      <w:r>
        <w:rPr>
          <w:rFonts w:ascii="Arial" w:hAnsi="Arial" w:eastAsia="Arial"/>
          <w:b w:val="true"/>
          <w:color w:val="000000"/>
          <w:spacing w:val="0"/>
          <w:w w:val="100"/>
          <w:sz w:val="28"/>
          <w:vertAlign w:val="baseline"/>
          <w:lang w:val="en-US"/>
        </w:rPr>
        <w:t xml:space="preserve">(Committed on or after Oct. 13, 2010 </w:t>
      </w:r>
      <w:r>
        <w:rPr>
          <w:rFonts w:ascii="Times New Roman" w:hAnsi="Times New Roman" w:eastAsia="Times New Roman"/>
          <w:b w:val="true"/>
          <w:color w:val="000000"/>
          <w:spacing w:val="0"/>
          <w:w w:val="100"/>
          <w:sz w:val="28"/>
          <w:vertAlign w:val="superscript"/>
          <w:lang w:val="en-US"/>
        </w:rPr>
        <w:t xml:space="preserve">1</w:t>
      </w:r>
      <w:r>
        <w:rPr>
          <w:rFonts w:ascii="Arial" w:hAnsi="Arial" w:eastAsia="Arial"/>
          <w:b w:val="true"/>
          <w:color w:val="000000"/>
          <w:spacing w:val="0"/>
          <w:w w:val="100"/>
          <w:sz w:val="28"/>
          <w:vertAlign w:val="baseline"/>
          <w:lang w:val="en-US"/>
        </w:rPr>
        <w:t xml:space="preserve"> )</w:t>
      </w:r>
    </w:p>
    <w:p>
      <w:pPr>
        <w:pageBreakBefore w:val="false"/>
        <w:spacing w:before="348" w:after="0" w:line="319" w:lineRule="exact"/>
        <w:ind w:right="0" w:left="72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 count is Sexual Abuse in the Third Degree.</w:t>
      </w:r>
    </w:p>
    <w:p>
      <w:pPr>
        <w:pageBreakBefore w:val="false"/>
        <w:spacing w:before="355" w:after="0"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a person is guilty of Sexual Abuse in the Third Degree when he or she subjects another person to sexual contact without that person's consent.</w:t>
      </w:r>
    </w:p>
    <w:p>
      <w:pPr>
        <w:pageBreakBefore w:val="false"/>
        <w:spacing w:before="356" w:after="0"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following terms used in that definition have a special meaning:</w:t>
      </w:r>
    </w:p>
    <w:p>
      <w:pPr>
        <w:pageBreakBefore w:val="false"/>
        <w:spacing w:before="346" w:after="0"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SEXUAL CONTACT means any touching of the sexual or other intimate parts of a person for the purpose of gratifying the sexual desire of either party. It includes the touching of the actor by the victim as well as the touching of the victim by the actor, whether directly or through clothing, as well as the emission of ejaculate by the actor upon any part of the victim, clothed or unclothed.</w:t>
      </w:r>
      <w:r>
        <w:rPr>
          <w:rFonts w:ascii="Arial" w:hAnsi="Arial" w:eastAsia="Arial"/>
          <w:color w:val="000000"/>
          <w:spacing w:val="0"/>
          <w:w w:val="100"/>
          <w:sz w:val="28"/>
          <w:vertAlign w:val="superscript"/>
          <w:lang w:val="en-US"/>
        </w:rPr>
        <w:t xml:space="preserve">2</w:t>
      </w:r>
      <w:r>
        <w:rPr>
          <w:rFonts w:ascii="Arial" w:hAnsi="Arial" w:eastAsia="Arial"/>
          <w:color w:val="000000"/>
          <w:spacing w:val="0"/>
          <w:w w:val="100"/>
          <w:sz w:val="17"/>
          <w:vertAlign w:val="baseline"/>
          <w:lang w:val="en-US"/>
        </w:rPr>
        <w:t xml:space="preserve">
</w:t>
      </w:r>
    </w:p>
    <w:p>
      <w:pPr>
        <w:pageBreakBefore w:val="false"/>
        <w:spacing w:before="313" w:after="0"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Sexual contact takes place WITHOUT A PERSON'S CONSENT when the lack of consent results from forcible compulsion.</w:t>
      </w:r>
      <w:r>
        <w:rPr>
          <w:rFonts w:ascii="Arial" w:hAnsi="Arial" w:eastAsia="Arial"/>
          <w:color w:val="000000"/>
          <w:spacing w:val="0"/>
          <w:w w:val="100"/>
          <w:sz w:val="28"/>
          <w:vertAlign w:val="superscript"/>
          <w:lang w:val="en-US"/>
        </w:rPr>
        <w:t xml:space="preserve">3</w:t>
      </w:r>
      <w:r>
        <w:rPr>
          <w:rFonts w:ascii="Arial" w:hAnsi="Arial" w:eastAsia="Arial"/>
          <w:color w:val="000000"/>
          <w:spacing w:val="0"/>
          <w:w w:val="100"/>
          <w:sz w:val="17"/>
          <w:vertAlign w:val="baseline"/>
          <w:lang w:val="en-US"/>
        </w:rPr>
        <w:t xml:space="preserve">
</w:t>
      </w:r>
    </w:p>
    <w:p>
      <w:pPr>
        <w:pageBreakBefore w:val="false"/>
        <w:spacing w:before="366" w:after="359"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FORCIBLE COMPULSION means to intentionally compel either:</w:t>
      </w:r>
    </w:p>
    <w:p>
      <w:pPr>
        <w:pageBreakBefore w:val="false"/>
        <w:spacing w:before="228" w:after="0" w:line="311" w:lineRule="exact"/>
        <w:ind w:right="72" w:left="0" w:firstLine="720"/>
        <w:jc w:val="left"/>
        <w:textAlignment w:val="baseline"/>
        <w:rPr>
          <w:rFonts w:ascii="Times New Roman" w:hAnsi="Times New Roman" w:eastAsia="Times New Roman"/>
          <w:color w:val="000000"/>
          <w:spacing w:val="0"/>
          <w:w w:val="100"/>
          <w:sz w:val="14"/>
          <w:vertAlign w:val="superscript"/>
          <w:lang w:val="en-US"/>
        </w:rPr>
      </w:pPr>
      <w:r>
        <w:pict>
          <v:line strokeweight="1.2pt" strokecolor="#000000" from="108pt,566.15pt" to="252.05pt,566.15pt" style="position:absolute;mso-position-horizontal-relative:page;mso-position-vertical-relative:page;">
            <v:stroke dashstyle="solid"/>
          </v:line>
        </w:pict>
      </w:r>
      <w:r>
        <w:rPr>
          <w:rFonts w:ascii="Times New Roman" w:hAnsi="Times New Roman" w:eastAsia="Times New Roman"/>
          <w:color w:val="000000"/>
          <w:spacing w:val="0"/>
          <w:w w:val="100"/>
          <w:sz w:val="14"/>
          <w:vertAlign w:val="superscript"/>
          <w:lang w:val="en-US"/>
        </w:rPr>
        <w:t xml:space="preserve">1</w:t>
      </w:r>
      <w:r>
        <w:rPr>
          <w:rFonts w:ascii="Times New Roman" w:hAnsi="Times New Roman" w:eastAsia="Times New Roman"/>
          <w:color w:val="000000"/>
          <w:spacing w:val="0"/>
          <w:w w:val="100"/>
          <w:sz w:val="24"/>
          <w:vertAlign w:val="baseline"/>
          <w:lang w:val="en-US"/>
        </w:rPr>
        <w:t xml:space="preserve"> Except for the amendment to the definition of “sexual contact,” effective October 13, 2010, as explained in the footnote to that definition, this charge is effective for crimes committed on or after Nov. 1, 2003.</w:t>
      </w:r>
    </w:p>
    <w:p>
      <w:pPr>
        <w:pageBreakBefore w:val="false"/>
        <w:spacing w:before="282" w:after="0" w:line="311" w:lineRule="exact"/>
        <w:ind w:right="504" w:left="0" w:firstLine="720"/>
        <w:jc w:val="left"/>
        <w:textAlignment w:val="baseline"/>
        <w:rPr>
          <w:rFonts w:ascii="Times New Roman" w:hAnsi="Times New Roman" w:eastAsia="Times New Roman"/>
          <w:color w:val="000000"/>
          <w:spacing w:val="-1"/>
          <w:w w:val="100"/>
          <w:sz w:val="14"/>
          <w:vertAlign w:val="superscript"/>
          <w:lang w:val="en-US"/>
        </w:rPr>
      </w:pPr>
      <w:r>
        <w:rPr>
          <w:rFonts w:ascii="Times New Roman" w:hAnsi="Times New Roman" w:eastAsia="Times New Roman"/>
          <w:color w:val="000000"/>
          <w:spacing w:val="-1"/>
          <w:w w:val="100"/>
          <w:sz w:val="14"/>
          <w:vertAlign w:val="superscript"/>
          <w:lang w:val="en-US"/>
        </w:rPr>
        <w:t xml:space="preserve">2</w:t>
      </w:r>
      <w:r>
        <w:rPr>
          <w:rFonts w:ascii="Times New Roman" w:hAnsi="Times New Roman" w:eastAsia="Times New Roman"/>
          <w:color w:val="000000"/>
          <w:spacing w:val="-1"/>
          <w:w w:val="100"/>
          <w:sz w:val="24"/>
          <w:vertAlign w:val="baseline"/>
          <w:lang w:val="en-US"/>
        </w:rPr>
        <w:t xml:space="preserve"> Penal Law § 130.00(3), as amended by the L.2010, c. 193, effective October 13, 2010, which struck the phrase “not married to the actor” after the word “person,” and added the concluding phrase “as well as the emission of ejaculate by the actor upon any part of the victim, clothed or unclothed.”</w:t>
      </w:r>
    </w:p>
    <w:p>
      <w:pPr>
        <w:pageBreakBefore w:val="false"/>
        <w:spacing w:before="249" w:after="0" w:line="269" w:lineRule="exact"/>
        <w:ind w:right="0" w:left="720" w:firstLine="0"/>
        <w:jc w:val="left"/>
        <w:textAlignment w:val="baseline"/>
        <w:rPr>
          <w:rFonts w:ascii="Times New Roman" w:hAnsi="Times New Roman" w:eastAsia="Times New Roman"/>
          <w:color w:val="000000"/>
          <w:spacing w:val="-1"/>
          <w:w w:val="100"/>
          <w:sz w:val="14"/>
          <w:vertAlign w:val="superscript"/>
          <w:lang w:val="en-US"/>
        </w:rPr>
      </w:pPr>
      <w:r>
        <w:rPr>
          <w:rFonts w:ascii="Times New Roman" w:hAnsi="Times New Roman" w:eastAsia="Times New Roman"/>
          <w:color w:val="000000"/>
          <w:spacing w:val="-1"/>
          <w:w w:val="100"/>
          <w:sz w:val="14"/>
          <w:vertAlign w:val="superscript"/>
          <w:lang w:val="en-US"/>
        </w:rPr>
        <w:t xml:space="preserve">3</w:t>
      </w:r>
      <w:r>
        <w:rPr>
          <w:rFonts w:ascii="Times New Roman" w:hAnsi="Times New Roman" w:eastAsia="Times New Roman"/>
          <w:color w:val="000000"/>
          <w:spacing w:val="-1"/>
          <w:w w:val="100"/>
          <w:sz w:val="24"/>
          <w:vertAlign w:val="baseline"/>
          <w:lang w:val="en-US"/>
        </w:rPr>
        <w:t xml:space="preserve"> Penal Law § 130.05(2)(a).</w:t>
      </w:r>
    </w:p>
    <w:p>
      <w:pPr>
        <w:sectPr>
          <w:type w:val="nextPage"/>
          <w:pgSz w:w="12240" w:h="15840" w:orient="portrait"/>
          <w:pgMar w:bottom="884" w:top="1040" w:right="2140" w:left="2160" w:header="720" w:footer="720"/>
          <w:titlePg w:val="false"/>
          <w:textDirection w:val="lrTb"/>
        </w:sectPr>
      </w:pPr>
    </w:p>
    <w:p>
      <w:pPr>
        <w:pageBreakBefore w:val="false"/>
        <w:numPr>
          <w:ilvl w:val="0"/>
          <w:numId w:val="1"/>
        </w:numPr>
        <w:tabs>
          <w:tab w:val="clear" w:pos="432"/>
          <w:tab w:val="left" w:pos="1152"/>
        </w:tabs>
        <w:spacing w:before="0" w:after="0" w:line="494" w:lineRule="exact"/>
        <w:ind w:right="0" w:left="0" w:firstLine="72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by the use of physical force;</w:t>
        <w:br/>
      </w:r>
      <w:r>
        <w:rPr>
          <w:rFonts w:ascii="Arial" w:hAnsi="Arial" w:eastAsia="Arial"/>
          <w:color w:val="000000"/>
          <w:spacing w:val="0"/>
          <w:w w:val="100"/>
          <w:sz w:val="28"/>
          <w:vertAlign w:val="baseline"/>
          <w:lang w:val="en-US"/>
        </w:rPr>
        <w:t xml:space="preserve">or</w:t>
      </w:r>
    </w:p>
    <w:p>
      <w:pPr>
        <w:pageBreakBefore w:val="false"/>
        <w:numPr>
          <w:ilvl w:val="0"/>
          <w:numId w:val="1"/>
        </w:numPr>
        <w:tabs>
          <w:tab w:val="clear" w:pos="432"/>
          <w:tab w:val="left" w:pos="1152"/>
        </w:tabs>
        <w:spacing w:before="360" w:after="0" w:line="353"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by a threat, express or implied, which places a person in fear of immediate death or physical injury to himself or herself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another person] or in fear that he or she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another person] will immediately be kidnapped.</w:t>
      </w:r>
      <w:r>
        <w:rPr>
          <w:rFonts w:ascii="Arial" w:hAnsi="Arial" w:eastAsia="Arial"/>
          <w:color w:val="000000"/>
          <w:spacing w:val="0"/>
          <w:w w:val="100"/>
          <w:sz w:val="28"/>
          <w:vertAlign w:val="superscript"/>
          <w:lang w:val="en-US"/>
        </w:rPr>
        <w:t xml:space="preserve">4</w:t>
      </w:r>
      <w:r>
        <w:rPr>
          <w:rFonts w:ascii="Arial" w:hAnsi="Arial" w:eastAsia="Arial"/>
          <w:color w:val="000000"/>
          <w:spacing w:val="0"/>
          <w:w w:val="100"/>
          <w:sz w:val="17"/>
          <w:vertAlign w:val="baseline"/>
          <w:lang w:val="en-US"/>
        </w:rPr>
        <w:t xml:space="preserve">
</w:t>
      </w:r>
    </w:p>
    <w:p>
      <w:pPr>
        <w:pageBreakBefore w:val="false"/>
        <w:spacing w:before="359" w:after="0" w:line="355"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In order for you to find the defendant guilty of this crime, the People are required to prove, from all the evidence in the case, beyond a reasonable doubt, both of the following two elements:</w:t>
      </w:r>
    </w:p>
    <w:p>
      <w:pPr>
        <w:pageBreakBefore w:val="false"/>
        <w:numPr>
          <w:ilvl w:val="0"/>
          <w:numId w:val="2"/>
        </w:numPr>
        <w:tabs>
          <w:tab w:val="clear" w:pos="720"/>
          <w:tab w:val="left" w:pos="1440"/>
        </w:tabs>
        <w:spacing w:before="360" w:after="0" w:line="355"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on or about </w:t>
      </w:r>
      <w:r>
        <w:rPr>
          <w:rFonts w:ascii="Arial" w:hAnsi="Arial" w:eastAsia="Arial"/>
          <w:i w:val="true"/>
          <w:color w:val="000000"/>
          <w:spacing w:val="0"/>
          <w:w w:val="100"/>
          <w:sz w:val="28"/>
          <w:u w:val="single"/>
          <w:vertAlign w:val="baseline"/>
          <w:lang w:val="en-US"/>
        </w:rPr>
        <w:t xml:space="preserve"> (date) </w:t>
      </w:r>
      <w:r>
        <w:rPr>
          <w:rFonts w:ascii="Arial" w:hAnsi="Arial" w:eastAsia="Arial"/>
          <w:color w:val="000000"/>
          <w:spacing w:val="0"/>
          <w:w w:val="100"/>
          <w:sz w:val="28"/>
          <w:vertAlign w:val="baseline"/>
          <w:lang w:val="en-US"/>
        </w:rPr>
        <w:t xml:space="preserve"> , in the county of </w:t>
      </w:r>
      <w:r>
        <w:rPr>
          <w:rFonts w:ascii="Arial" w:hAnsi="Arial" w:eastAsia="Arial"/>
          <w:i w:val="true"/>
          <w:color w:val="000000"/>
          <w:spacing w:val="0"/>
          <w:w w:val="100"/>
          <w:sz w:val="28"/>
          <w:u w:val="single"/>
          <w:vertAlign w:val="baseline"/>
          <w:lang w:val="en-US"/>
        </w:rPr>
        <w:t xml:space="preserve"> (county) </w:t>
      </w:r>
      <w:r>
        <w:rPr>
          <w:rFonts w:ascii="Arial" w:hAnsi="Arial" w:eastAsia="Arial"/>
          <w:color w:val="000000"/>
          <w:spacing w:val="0"/>
          <w:w w:val="100"/>
          <w:sz w:val="28"/>
          <w:vertAlign w:val="baseline"/>
          <w:lang w:val="en-US"/>
        </w:rPr>
        <w:t xml:space="preserve"> , the defendant, </w:t>
      </w:r>
      <w:r>
        <w:rPr>
          <w:rFonts w:ascii="Arial" w:hAnsi="Arial" w:eastAsia="Arial"/>
          <w:i w:val="true"/>
          <w:color w:val="000000"/>
          <w:spacing w:val="0"/>
          <w:w w:val="100"/>
          <w:sz w:val="28"/>
          <w:u w:val="single"/>
          <w:vertAlign w:val="baseline"/>
          <w:lang w:val="en-US"/>
        </w:rPr>
        <w:t xml:space="preserve">(name of defendant) </w:t>
      </w:r>
      <w:r>
        <w:rPr>
          <w:rFonts w:ascii="Arial" w:hAnsi="Arial" w:eastAsia="Arial"/>
          <w:color w:val="000000"/>
          <w:spacing w:val="0"/>
          <w:w w:val="100"/>
          <w:sz w:val="28"/>
          <w:vertAlign w:val="baseline"/>
          <w:lang w:val="en-US"/>
        </w:rPr>
        <w:t xml:space="preserve"> , subjected </w:t>
      </w:r>
      <w:r>
        <w:rPr>
          <w:rFonts w:ascii="Arial" w:hAnsi="Arial" w:eastAsia="Arial"/>
          <w:i w:val="true"/>
          <w:color w:val="000000"/>
          <w:spacing w:val="0"/>
          <w:w w:val="100"/>
          <w:sz w:val="28"/>
          <w:u w:val="single"/>
          <w:vertAlign w:val="baseline"/>
          <w:lang w:val="en-US"/>
        </w:rPr>
        <w:t xml:space="preserve">(name of complainant) </w:t>
      </w:r>
      <w:r>
        <w:rPr>
          <w:rFonts w:ascii="Arial" w:hAnsi="Arial" w:eastAsia="Arial"/>
          <w:color w:val="000000"/>
          <w:spacing w:val="0"/>
          <w:w w:val="100"/>
          <w:sz w:val="28"/>
          <w:vertAlign w:val="baseline"/>
          <w:lang w:val="en-US"/>
        </w:rPr>
        <w:t xml:space="preserve"> to sexual contact; and</w:t>
      </w:r>
    </w:p>
    <w:p>
      <w:pPr>
        <w:pageBreakBefore w:val="false"/>
        <w:numPr>
          <w:ilvl w:val="0"/>
          <w:numId w:val="2"/>
        </w:numPr>
        <w:tabs>
          <w:tab w:val="clear" w:pos="720"/>
          <w:tab w:val="left" w:pos="1440"/>
        </w:tabs>
        <w:spacing w:before="352" w:after="0" w:line="355"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the defendant did so without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's consent by the use of forcible compulsion.</w:t>
      </w:r>
    </w:p>
    <w:p>
      <w:pPr>
        <w:pageBreakBefore w:val="false"/>
        <w:spacing w:before="356" w:after="0"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of those elements, you must find the defendant guilty of this crime.</w:t>
      </w:r>
    </w:p>
    <w:p>
      <w:pPr>
        <w:pageBreakBefore w:val="false"/>
        <w:spacing w:before="356" w:after="1421" w:line="355"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If you find the People have not proven beyond a reasonable doubt either one or both of those elements, you must find the defendant not guilty of this crime..</w:t>
      </w:r>
    </w:p>
    <w:p>
      <w:pPr>
        <w:pageBreakBefore w:val="false"/>
        <w:spacing w:before="224" w:after="0" w:line="311" w:lineRule="exact"/>
        <w:ind w:right="144" w:left="0" w:firstLine="720"/>
        <w:jc w:val="left"/>
        <w:textAlignment w:val="baseline"/>
        <w:rPr>
          <w:rFonts w:ascii="Times New Roman" w:hAnsi="Times New Roman" w:eastAsia="Times New Roman"/>
          <w:color w:val="000000"/>
          <w:spacing w:val="0"/>
          <w:w w:val="100"/>
          <w:sz w:val="14"/>
          <w:vertAlign w:val="superscript"/>
          <w:lang w:val="en-US"/>
        </w:rPr>
      </w:pPr>
      <w:r>
        <w:pict>
          <v:line strokeweight="0.95pt" strokecolor="#000000" from="107.55pt,637.7pt" to="252.05pt,637.7pt" style="position:absolute;mso-position-horizontal-relative:page;mso-position-vertical-relative:page;">
            <v:stroke dashstyle="solid"/>
          </v:line>
        </w:pict>
      </w:r>
      <w:r>
        <w:rPr>
          <w:rFonts w:ascii="Times New Roman" w:hAnsi="Times New Roman" w:eastAsia="Times New Roman"/>
          <w:color w:val="000000"/>
          <w:spacing w:val="0"/>
          <w:w w:val="100"/>
          <w:sz w:val="14"/>
          <w:vertAlign w:val="superscript"/>
          <w:lang w:val="en-US"/>
        </w:rPr>
        <w:t xml:space="preserve">4</w:t>
      </w:r>
      <w:r>
        <w:rPr>
          <w:rFonts w:ascii="Times New Roman" w:hAnsi="Times New Roman" w:eastAsia="Times New Roman"/>
          <w:color w:val="000000"/>
          <w:spacing w:val="0"/>
          <w:w w:val="100"/>
          <w:sz w:val="24"/>
          <w:vertAlign w:val="baseline"/>
          <w:lang w:val="en-US"/>
        </w:rPr>
        <w:t xml:space="preserve"> Penal Law §§ 15.05(1), 130.00(8). The definition has been modified by adding the term “intentionally” in the first line to reflect the holding of </w:t>
      </w:r>
      <w:r>
        <w:rPr>
          <w:rFonts w:ascii="Times New Roman" w:hAnsi="Times New Roman" w:eastAsia="Times New Roman"/>
          <w:i w:val="true"/>
          <w:color w:val="000000"/>
          <w:spacing w:val="0"/>
          <w:w w:val="100"/>
          <w:sz w:val="24"/>
          <w:vertAlign w:val="baseline"/>
          <w:lang w:val="en-US"/>
        </w:rPr>
        <w:t xml:space="preserve">People v. Williams</w:t>
      </w:r>
      <w:r>
        <w:rPr>
          <w:rFonts w:ascii="Times New Roman" w:hAnsi="Times New Roman" w:eastAsia="Times New Roman"/>
          <w:color w:val="000000"/>
          <w:spacing w:val="0"/>
          <w:w w:val="100"/>
          <w:sz w:val="24"/>
          <w:vertAlign w:val="baseline"/>
          <w:lang w:val="en-US"/>
        </w:rPr>
        <w:t xml:space="preserve">, 81 N.Y.2d 303 (1993)</w:t>
      </w:r>
      <w:r>
        <w:rPr>
          <w:rFonts w:ascii="Times New Roman" w:hAnsi="Times New Roman" w:eastAsia="Times New Roman"/>
          <w:i w:val="true"/>
          <w:color w:val="000000"/>
          <w:spacing w:val="0"/>
          <w:w w:val="100"/>
          <w:sz w:val="24"/>
          <w:vertAlign w:val="baseline"/>
          <w:lang w:val="en-US"/>
        </w:rPr>
        <w:t xml:space="preserve">. See also People v. Grega</w:t>
      </w:r>
      <w:r>
        <w:rPr>
          <w:rFonts w:ascii="Times New Roman" w:hAnsi="Times New Roman" w:eastAsia="Times New Roman"/>
          <w:color w:val="000000"/>
          <w:spacing w:val="0"/>
          <w:w w:val="100"/>
          <w:sz w:val="24"/>
          <w:vertAlign w:val="baseline"/>
          <w:lang w:val="en-US"/>
        </w:rPr>
        <w:t xml:space="preserve">, 72 N.Y.2d 489 (1988), directing the trial court not to charge both definitions of forcible compulsion when the indictment alleges only one of the two definitions.</w:t>
      </w:r>
    </w:p>
    <w:sectPr>
      <w:type w:val="nextPage"/>
      <w:pgSz w:w="12240" w:h="15840" w:orient="portrait"/>
      <w:pgMar w:bottom="904" w:top="1440" w:right="2113" w:left="215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432"/>
        </w:tabs>
      </w:pPr>
      <w:rPr>
        <w:rFonts w:ascii="Arial" w:hAnsi="Arial" w:eastAsia="Arial"/>
        <w:color w:val="000000"/>
        <w:spacing w:val="0"/>
        <w:w w:val="100"/>
        <w:sz w:val="28"/>
        <w:vertAlign w:val="baseline"/>
        <w:lang w:val="en-US"/>
      </w:rPr>
    </w:lvl>
  </w:abstractNum>
  <w:abstractNum w:abstractNumId="2">
    <w:lvl w:ilvl="0">
      <w:start w:val="1"/>
      <w:numFmt w:val="decimal"/>
      <w:lvlText w:val="%1."/>
      <w:pPr>
        <w:tabs>
          <w:tab w:val="left" w:pos="720"/>
        </w:tabs>
      </w:pPr>
      <w:rPr>
        <w:rFonts w:ascii="Arial" w:hAnsi="Arial" w:eastAsia="Arial"/>
        <w:color w:val="000000"/>
        <w:spacing w:val="0"/>
        <w:w w:val="100"/>
        <w:sz w:val="28"/>
        <w:vertAlign w:val="baseline"/>
        <w:lang w:val="en-US"/>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