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9D614" w14:textId="6507142D" w:rsidR="00E5110B" w:rsidRPr="00F41B2C" w:rsidRDefault="007F1D71">
      <w:pPr>
        <w:spacing w:before="3" w:line="331" w:lineRule="exact"/>
        <w:jc w:val="center"/>
        <w:textAlignment w:val="baseline"/>
        <w:rPr>
          <w:rFonts w:ascii="Arial" w:eastAsia="Arial" w:hAnsi="Arial"/>
          <w:b/>
          <w:sz w:val="17"/>
        </w:rPr>
      </w:pPr>
      <w:r w:rsidRPr="00F41B2C">
        <w:rPr>
          <w:rFonts w:ascii="Arial" w:eastAsia="Arial" w:hAnsi="Arial"/>
          <w:b/>
          <w:sz w:val="28"/>
        </w:rPr>
        <w:t xml:space="preserve">AGGRAVATED SEXUAL ABUSE IN THE THIRD DEGREE </w:t>
      </w:r>
      <w:r w:rsidRPr="00F41B2C">
        <w:rPr>
          <w:rFonts w:ascii="Arial" w:eastAsia="Arial" w:hAnsi="Arial"/>
          <w:b/>
          <w:sz w:val="28"/>
        </w:rPr>
        <w:br/>
        <w:t>(Object</w:t>
      </w:r>
      <w:r w:rsidR="001F2EA4" w:rsidRPr="00F41B2C">
        <w:rPr>
          <w:rFonts w:ascii="Arial" w:eastAsia="Arial" w:hAnsi="Arial"/>
          <w:b/>
          <w:sz w:val="28"/>
        </w:rPr>
        <w:t xml:space="preserve"> or Finger</w:t>
      </w:r>
      <w:r w:rsidR="000E7E3F" w:rsidRPr="00F41B2C">
        <w:rPr>
          <w:rFonts w:ascii="Arial" w:eastAsia="Arial" w:hAnsi="Arial"/>
          <w:b/>
          <w:sz w:val="28"/>
        </w:rPr>
        <w:t xml:space="preserve"> -</w:t>
      </w:r>
      <w:r w:rsidRPr="00F41B2C">
        <w:rPr>
          <w:rFonts w:ascii="Arial" w:eastAsia="Arial" w:hAnsi="Arial"/>
          <w:b/>
          <w:sz w:val="28"/>
        </w:rPr>
        <w:t xml:space="preserve"> Complainant Less Than 11) </w:t>
      </w:r>
      <w:r w:rsidRPr="00F41B2C">
        <w:rPr>
          <w:rFonts w:ascii="Arial" w:eastAsia="Arial" w:hAnsi="Arial"/>
          <w:b/>
          <w:sz w:val="28"/>
        </w:rPr>
        <w:br/>
        <w:t xml:space="preserve">Penal Law § 130.66 (1) (c) </w:t>
      </w:r>
      <w:r w:rsidRPr="00F41B2C">
        <w:rPr>
          <w:rFonts w:ascii="Arial" w:eastAsia="Arial" w:hAnsi="Arial"/>
          <w:b/>
          <w:sz w:val="28"/>
        </w:rPr>
        <w:br/>
        <w:t xml:space="preserve">(Committed on or after </w:t>
      </w:r>
      <w:r w:rsidR="00477F1C" w:rsidRPr="00F41B2C">
        <w:rPr>
          <w:rFonts w:ascii="Arial" w:eastAsia="Arial" w:hAnsi="Arial"/>
          <w:b/>
          <w:sz w:val="28"/>
        </w:rPr>
        <w:t>Jan 22, 2023</w:t>
      </w:r>
      <w:r w:rsidRPr="00F41B2C">
        <w:rPr>
          <w:rFonts w:ascii="Arial" w:eastAsia="Arial" w:hAnsi="Arial"/>
          <w:b/>
          <w:sz w:val="28"/>
        </w:rPr>
        <w:t>)</w:t>
      </w:r>
      <w:r w:rsidRPr="00F41B2C">
        <w:rPr>
          <w:rFonts w:ascii="Arial" w:eastAsia="Arial" w:hAnsi="Arial"/>
          <w:b/>
          <w:sz w:val="28"/>
          <w:vertAlign w:val="superscript"/>
        </w:rPr>
        <w:t>1</w:t>
      </w:r>
      <w:r w:rsidRPr="00F41B2C">
        <w:rPr>
          <w:rFonts w:ascii="Arial" w:eastAsia="Arial" w:hAnsi="Arial"/>
          <w:b/>
          <w:sz w:val="17"/>
        </w:rPr>
        <w:t xml:space="preserve"> </w:t>
      </w:r>
    </w:p>
    <w:p w14:paraId="62DBC373" w14:textId="77777777" w:rsidR="00FF3664" w:rsidRPr="00F41B2C" w:rsidRDefault="00FF3664" w:rsidP="00FF3664">
      <w:pPr>
        <w:spacing w:before="3" w:line="331" w:lineRule="exact"/>
        <w:jc w:val="center"/>
        <w:textAlignment w:val="baseline"/>
        <w:rPr>
          <w:rFonts w:ascii="Arial" w:eastAsia="Arial" w:hAnsi="Arial"/>
          <w:bCs/>
        </w:rPr>
      </w:pPr>
      <w:r w:rsidRPr="00F41B2C">
        <w:rPr>
          <w:rFonts w:ascii="Arial" w:eastAsia="Arial" w:hAnsi="Arial"/>
          <w:bCs/>
        </w:rPr>
        <w:t>(Revised)</w:t>
      </w:r>
      <w:r w:rsidRPr="00F41B2C">
        <w:rPr>
          <w:rStyle w:val="FootnoteReference"/>
          <w:rFonts w:ascii="Arial" w:eastAsia="Arial" w:hAnsi="Arial"/>
          <w:bCs/>
        </w:rPr>
        <w:footnoteReference w:id="1"/>
      </w:r>
    </w:p>
    <w:p w14:paraId="78D9D615" w14:textId="77777777" w:rsidR="00E5110B" w:rsidRPr="00F41B2C" w:rsidRDefault="007F1D71">
      <w:pPr>
        <w:spacing w:before="322" w:line="325" w:lineRule="exact"/>
        <w:ind w:firstLine="720"/>
        <w:jc w:val="both"/>
        <w:textAlignment w:val="baseline"/>
        <w:rPr>
          <w:rFonts w:ascii="Arial" w:eastAsia="Arial" w:hAnsi="Arial"/>
          <w:sz w:val="28"/>
        </w:rPr>
      </w:pPr>
      <w:r w:rsidRPr="00F41B2C">
        <w:rPr>
          <w:rFonts w:ascii="Arial" w:eastAsia="Arial" w:hAnsi="Arial"/>
          <w:sz w:val="28"/>
        </w:rPr>
        <w:t>The (</w:t>
      </w:r>
      <w:r w:rsidRPr="00F41B2C">
        <w:rPr>
          <w:rFonts w:ascii="Arial" w:eastAsia="Arial" w:hAnsi="Arial"/>
          <w:sz w:val="29"/>
          <w:u w:val="single"/>
        </w:rPr>
        <w:t>specify</w:t>
      </w:r>
      <w:r w:rsidRPr="00F41B2C">
        <w:rPr>
          <w:rFonts w:ascii="Arial" w:eastAsia="Arial" w:hAnsi="Arial"/>
          <w:sz w:val="28"/>
        </w:rPr>
        <w:t>) count is Aggravated Sexual Abuse in the Third Degree.</w:t>
      </w:r>
    </w:p>
    <w:p w14:paraId="562ABE72" w14:textId="5267637A" w:rsidR="007F2EAA" w:rsidRPr="00F41B2C" w:rsidRDefault="007F1D71" w:rsidP="007F2EAA">
      <w:pPr>
        <w:spacing w:before="324" w:after="120" w:line="325" w:lineRule="exact"/>
        <w:ind w:firstLine="720"/>
        <w:jc w:val="both"/>
        <w:textAlignment w:val="baseline"/>
        <w:rPr>
          <w:rFonts w:ascii="Arial" w:eastAsia="Arial" w:hAnsi="Arial"/>
          <w:sz w:val="28"/>
        </w:rPr>
      </w:pPr>
      <w:r w:rsidRPr="00F41B2C">
        <w:rPr>
          <w:rFonts w:ascii="Arial" w:eastAsia="Arial" w:hAnsi="Arial"/>
          <w:sz w:val="28"/>
        </w:rPr>
        <w:t xml:space="preserve">Under our law, a person is guilty of Aggravated Sexual Abuse in the Third Degree when he or she inserts a </w:t>
      </w:r>
    </w:p>
    <w:p w14:paraId="5DBB017E" w14:textId="77777777" w:rsidR="000F5028" w:rsidRPr="00F41B2C" w:rsidRDefault="00000000" w:rsidP="007F2EAA">
      <w:pPr>
        <w:spacing w:after="120" w:line="324" w:lineRule="exact"/>
        <w:jc w:val="both"/>
        <w:textAlignment w:val="baseline"/>
        <w:rPr>
          <w:rFonts w:ascii="Arial" w:eastAsia="Arial" w:hAnsi="Arial"/>
          <w:sz w:val="28"/>
          <w:u w:val="single"/>
        </w:rPr>
      </w:pPr>
      <w:bookmarkStart w:id="1" w:name="_Hlk128143415"/>
      <w:r w:rsidRPr="00F41B2C">
        <w:rPr>
          <w:rFonts w:ascii="Arial" w:eastAsia="Arial" w:hAnsi="Arial"/>
          <w:sz w:val="28"/>
          <w:u w:val="single"/>
        </w:rPr>
        <w:t xml:space="preserve">Select appropriate alternative(s): </w:t>
      </w:r>
    </w:p>
    <w:p w14:paraId="6A3518AF" w14:textId="77777777" w:rsidR="000F5028" w:rsidRPr="00F41B2C" w:rsidRDefault="00000000" w:rsidP="007F2EAA">
      <w:pPr>
        <w:spacing w:line="324" w:lineRule="exact"/>
        <w:ind w:left="720"/>
        <w:jc w:val="both"/>
        <w:textAlignment w:val="baseline"/>
        <w:rPr>
          <w:rFonts w:ascii="Arial" w:eastAsia="Arial" w:hAnsi="Arial"/>
          <w:sz w:val="28"/>
        </w:rPr>
      </w:pPr>
      <w:r w:rsidRPr="00F41B2C">
        <w:rPr>
          <w:rFonts w:ascii="Arial" w:eastAsia="Arial" w:hAnsi="Arial"/>
          <w:sz w:val="28"/>
        </w:rPr>
        <w:t xml:space="preserve">foreign object </w:t>
      </w:r>
    </w:p>
    <w:p w14:paraId="1200F095" w14:textId="77777777" w:rsidR="00361E43" w:rsidRPr="00F41B2C" w:rsidRDefault="00000000" w:rsidP="007F2EAA">
      <w:pPr>
        <w:spacing w:line="324" w:lineRule="exact"/>
        <w:ind w:left="720"/>
        <w:jc w:val="both"/>
        <w:textAlignment w:val="baseline"/>
        <w:rPr>
          <w:rFonts w:ascii="Arial" w:eastAsia="Arial" w:hAnsi="Arial"/>
          <w:sz w:val="28"/>
        </w:rPr>
      </w:pPr>
      <w:r w:rsidRPr="00F41B2C">
        <w:rPr>
          <w:rFonts w:ascii="Arial" w:eastAsia="Arial" w:hAnsi="Arial"/>
          <w:sz w:val="28"/>
        </w:rPr>
        <w:t xml:space="preserve">[or] a finger </w:t>
      </w:r>
    </w:p>
    <w:bookmarkEnd w:id="1"/>
    <w:p w14:paraId="1A1450BC" w14:textId="4F73A0C7" w:rsidR="000E7E3F" w:rsidRPr="00F41B2C" w:rsidRDefault="007F1D71" w:rsidP="0046177D">
      <w:pPr>
        <w:spacing w:before="324" w:line="325" w:lineRule="exact"/>
        <w:jc w:val="both"/>
        <w:textAlignment w:val="baseline"/>
        <w:rPr>
          <w:rFonts w:ascii="Arial" w:eastAsia="Arial" w:hAnsi="Arial"/>
          <w:sz w:val="28"/>
        </w:rPr>
      </w:pPr>
      <w:r w:rsidRPr="00F41B2C">
        <w:rPr>
          <w:rFonts w:ascii="Arial" w:eastAsia="Arial" w:hAnsi="Arial"/>
          <w:sz w:val="28"/>
        </w:rPr>
        <w:t xml:space="preserve">in the </w:t>
      </w:r>
    </w:p>
    <w:p w14:paraId="34643AC5" w14:textId="77777777" w:rsidR="005E3D35" w:rsidRPr="00F41B2C" w:rsidRDefault="005E3D35" w:rsidP="005E3D35">
      <w:pPr>
        <w:spacing w:before="330" w:line="323" w:lineRule="exact"/>
        <w:jc w:val="both"/>
        <w:textAlignment w:val="baseline"/>
        <w:rPr>
          <w:rFonts w:ascii="Arial" w:eastAsia="Arial" w:hAnsi="Arial"/>
          <w:i/>
          <w:iCs/>
          <w:sz w:val="28"/>
          <w:u w:val="single"/>
        </w:rPr>
      </w:pPr>
      <w:r w:rsidRPr="00F41B2C">
        <w:rPr>
          <w:rFonts w:ascii="Arial" w:eastAsia="Arial" w:hAnsi="Arial"/>
          <w:i/>
          <w:iCs/>
          <w:sz w:val="28"/>
          <w:u w:val="single"/>
        </w:rPr>
        <w:t xml:space="preserve">Select appropriate alternative(s): </w:t>
      </w:r>
    </w:p>
    <w:p w14:paraId="042F60A0" w14:textId="77777777" w:rsidR="005E3D35" w:rsidRPr="00F41B2C" w:rsidRDefault="005E3D35" w:rsidP="007F2EAA">
      <w:pPr>
        <w:spacing w:line="323" w:lineRule="exact"/>
        <w:ind w:left="720"/>
        <w:jc w:val="both"/>
        <w:textAlignment w:val="baseline"/>
        <w:rPr>
          <w:rFonts w:ascii="Arial" w:eastAsia="Arial" w:hAnsi="Arial"/>
          <w:sz w:val="28"/>
        </w:rPr>
      </w:pPr>
      <w:r w:rsidRPr="00F41B2C">
        <w:rPr>
          <w:rFonts w:ascii="Arial" w:eastAsia="Arial" w:hAnsi="Arial"/>
          <w:sz w:val="28"/>
        </w:rPr>
        <w:t>vagina</w:t>
      </w:r>
    </w:p>
    <w:p w14:paraId="289A916D" w14:textId="77777777" w:rsidR="005E3D35" w:rsidRPr="00F41B2C" w:rsidRDefault="005E3D35" w:rsidP="007F2EAA">
      <w:pPr>
        <w:spacing w:line="323" w:lineRule="exact"/>
        <w:ind w:left="720"/>
        <w:jc w:val="both"/>
        <w:textAlignment w:val="baseline"/>
        <w:rPr>
          <w:rFonts w:ascii="Arial" w:eastAsia="Arial" w:hAnsi="Arial"/>
          <w:sz w:val="28"/>
        </w:rPr>
      </w:pPr>
      <w:r w:rsidRPr="00F41B2C">
        <w:rPr>
          <w:rFonts w:ascii="Arial" w:eastAsia="Arial" w:hAnsi="Arial"/>
          <w:sz w:val="28"/>
        </w:rPr>
        <w:t>[or] urethra</w:t>
      </w:r>
    </w:p>
    <w:p w14:paraId="4CC9B805" w14:textId="77777777" w:rsidR="005E3D35" w:rsidRPr="00F41B2C" w:rsidRDefault="005E3D35" w:rsidP="007F2EAA">
      <w:pPr>
        <w:spacing w:line="323" w:lineRule="exact"/>
        <w:ind w:left="720"/>
        <w:jc w:val="both"/>
        <w:textAlignment w:val="baseline"/>
        <w:rPr>
          <w:rFonts w:ascii="Arial" w:eastAsia="Arial" w:hAnsi="Arial"/>
          <w:sz w:val="28"/>
        </w:rPr>
      </w:pPr>
      <w:r w:rsidRPr="00F41B2C">
        <w:rPr>
          <w:rFonts w:ascii="Arial" w:eastAsia="Arial" w:hAnsi="Arial"/>
          <w:sz w:val="28"/>
        </w:rPr>
        <w:t>[or] penis</w:t>
      </w:r>
    </w:p>
    <w:p w14:paraId="71A58536" w14:textId="77777777" w:rsidR="005E3D35" w:rsidRPr="00F41B2C" w:rsidRDefault="005E3D35" w:rsidP="007F2EAA">
      <w:pPr>
        <w:spacing w:line="323" w:lineRule="exact"/>
        <w:ind w:left="720"/>
        <w:jc w:val="both"/>
        <w:textAlignment w:val="baseline"/>
        <w:rPr>
          <w:rFonts w:ascii="Arial" w:eastAsia="Arial" w:hAnsi="Arial"/>
          <w:sz w:val="28"/>
        </w:rPr>
      </w:pPr>
      <w:r w:rsidRPr="00F41B2C">
        <w:rPr>
          <w:rFonts w:ascii="Arial" w:eastAsia="Arial" w:hAnsi="Arial"/>
          <w:sz w:val="28"/>
        </w:rPr>
        <w:t>[or] rectum</w:t>
      </w:r>
    </w:p>
    <w:p w14:paraId="75F449F2" w14:textId="77777777" w:rsidR="005E3D35" w:rsidRPr="00F41B2C" w:rsidRDefault="005E3D35" w:rsidP="007F2EAA">
      <w:pPr>
        <w:spacing w:line="323" w:lineRule="exact"/>
        <w:ind w:left="720"/>
        <w:jc w:val="both"/>
        <w:textAlignment w:val="baseline"/>
        <w:rPr>
          <w:rFonts w:ascii="Arial" w:eastAsia="Arial" w:hAnsi="Arial"/>
          <w:sz w:val="28"/>
        </w:rPr>
      </w:pPr>
      <w:r w:rsidRPr="00F41B2C">
        <w:rPr>
          <w:rFonts w:ascii="Arial" w:eastAsia="Arial" w:hAnsi="Arial"/>
          <w:sz w:val="28"/>
        </w:rPr>
        <w:t>[or] anus</w:t>
      </w:r>
    </w:p>
    <w:p w14:paraId="78D9D616" w14:textId="39020712" w:rsidR="00E5110B" w:rsidRPr="00F41B2C" w:rsidRDefault="007F1D71" w:rsidP="005E3D35">
      <w:pPr>
        <w:spacing w:before="324" w:line="325" w:lineRule="exact"/>
        <w:jc w:val="both"/>
        <w:textAlignment w:val="baseline"/>
        <w:rPr>
          <w:rFonts w:ascii="Arial" w:eastAsia="Arial" w:hAnsi="Arial"/>
          <w:sz w:val="28"/>
        </w:rPr>
      </w:pPr>
      <w:r w:rsidRPr="00F41B2C">
        <w:rPr>
          <w:rFonts w:ascii="Arial" w:eastAsia="Arial" w:hAnsi="Arial"/>
          <w:sz w:val="28"/>
        </w:rPr>
        <w:t>of another person when that person is less than eleven (11) years old.</w:t>
      </w:r>
    </w:p>
    <w:p w14:paraId="78D9D617" w14:textId="021DAD07" w:rsidR="00E5110B" w:rsidRPr="00F41B2C" w:rsidRDefault="007F1D71">
      <w:pPr>
        <w:spacing w:before="312" w:line="325" w:lineRule="exact"/>
        <w:ind w:firstLine="720"/>
        <w:jc w:val="both"/>
        <w:textAlignment w:val="baseline"/>
        <w:rPr>
          <w:rFonts w:ascii="Arial" w:eastAsia="Arial" w:hAnsi="Arial"/>
          <w:sz w:val="28"/>
        </w:rPr>
      </w:pPr>
      <w:r w:rsidRPr="00F41B2C">
        <w:rPr>
          <w:rFonts w:ascii="Arial" w:eastAsia="Arial" w:hAnsi="Arial"/>
          <w:sz w:val="28"/>
        </w:rPr>
        <w:t>Under our law, it is also an element of this offense that the insertion take place without consent.</w:t>
      </w:r>
      <w:r w:rsidR="00201EF4" w:rsidRPr="00F41B2C">
        <w:rPr>
          <w:rStyle w:val="FootnoteReference"/>
          <w:rFonts w:ascii="Arial" w:eastAsia="Arial" w:hAnsi="Arial"/>
          <w:sz w:val="28"/>
        </w:rPr>
        <w:t xml:space="preserve"> </w:t>
      </w:r>
      <w:r w:rsidR="00201EF4" w:rsidRPr="00F41B2C">
        <w:rPr>
          <w:rStyle w:val="FootnoteReference"/>
          <w:rFonts w:ascii="Arial" w:eastAsia="Arial" w:hAnsi="Arial"/>
          <w:sz w:val="28"/>
        </w:rPr>
        <w:footnoteReference w:id="2"/>
      </w:r>
      <w:r w:rsidRPr="00F41B2C">
        <w:rPr>
          <w:rFonts w:ascii="Arial" w:eastAsia="Arial" w:hAnsi="Arial"/>
          <w:sz w:val="28"/>
        </w:rPr>
        <w:t xml:space="preserve"> Such insertion takes place without a person's consent when that person is deemed </w:t>
      </w:r>
      <w:r w:rsidRPr="00F41B2C">
        <w:rPr>
          <w:rFonts w:ascii="Arial" w:eastAsia="Arial" w:hAnsi="Arial"/>
          <w:sz w:val="28"/>
        </w:rPr>
        <w:lastRenderedPageBreak/>
        <w:t>incapable of consent. A person is deemed incapable of consent when he or she is less than eleven (11) years old.</w:t>
      </w:r>
      <w:r w:rsidR="00201EF4" w:rsidRPr="00F41B2C">
        <w:rPr>
          <w:rFonts w:ascii="Arial" w:eastAsia="Arial" w:hAnsi="Arial"/>
          <w:sz w:val="28"/>
        </w:rPr>
        <w:t xml:space="preserve"> </w:t>
      </w:r>
      <w:r w:rsidR="00201EF4" w:rsidRPr="00F41B2C">
        <w:rPr>
          <w:rStyle w:val="FootnoteReference"/>
          <w:rFonts w:ascii="Arial" w:eastAsia="Arial" w:hAnsi="Arial"/>
          <w:sz w:val="28"/>
        </w:rPr>
        <w:footnoteReference w:id="3"/>
      </w:r>
      <w:r w:rsidRPr="00F41B2C">
        <w:rPr>
          <w:rFonts w:ascii="Arial" w:eastAsia="Arial" w:hAnsi="Arial"/>
          <w:sz w:val="28"/>
        </w:rPr>
        <w:t xml:space="preserve"> Thus, the law deems such insertion to be without that person's consent, even if in fact that person did consent.</w:t>
      </w:r>
    </w:p>
    <w:p w14:paraId="78D9D618" w14:textId="4380B5D8" w:rsidR="00E5110B" w:rsidRPr="00F41B2C" w:rsidRDefault="007F1D71">
      <w:pPr>
        <w:spacing w:before="319" w:line="325" w:lineRule="exact"/>
        <w:ind w:firstLine="720"/>
        <w:jc w:val="both"/>
        <w:textAlignment w:val="baseline"/>
        <w:rPr>
          <w:rFonts w:ascii="Arial" w:eastAsia="Arial" w:hAnsi="Arial"/>
          <w:spacing w:val="-3"/>
          <w:sz w:val="28"/>
        </w:rPr>
      </w:pPr>
      <w:r w:rsidRPr="00F41B2C">
        <w:rPr>
          <w:rFonts w:ascii="Arial" w:eastAsia="Arial" w:hAnsi="Arial"/>
          <w:spacing w:val="-3"/>
          <w:sz w:val="28"/>
        </w:rPr>
        <w:t>It is not a defense to this charge that the actor did not know that the person with whom the actor had contact was less than eleven (11) years old, or that the actor believed that such person was eleven (11) years old or more on the date of the crime.</w:t>
      </w:r>
      <w:r w:rsidR="00CC6685" w:rsidRPr="00F41B2C">
        <w:rPr>
          <w:rStyle w:val="FootnoteReference"/>
          <w:rFonts w:ascii="Arial" w:eastAsia="Arial" w:hAnsi="Arial"/>
          <w:spacing w:val="-3"/>
          <w:sz w:val="28"/>
        </w:rPr>
        <w:footnoteReference w:id="4"/>
      </w:r>
      <w:r w:rsidRPr="00F41B2C">
        <w:rPr>
          <w:rFonts w:ascii="Arial" w:eastAsia="Arial" w:hAnsi="Arial"/>
          <w:spacing w:val="-3"/>
          <w:sz w:val="16"/>
        </w:rPr>
        <w:t xml:space="preserve"> </w:t>
      </w:r>
    </w:p>
    <w:p w14:paraId="1BA4AB7A" w14:textId="77777777" w:rsidR="009E7AAA" w:rsidRPr="00F41B2C" w:rsidRDefault="007F1D71" w:rsidP="009E7AAA">
      <w:pPr>
        <w:spacing w:before="326" w:after="615" w:line="325" w:lineRule="exact"/>
        <w:ind w:firstLine="720"/>
        <w:jc w:val="both"/>
        <w:textAlignment w:val="baseline"/>
        <w:rPr>
          <w:rFonts w:ascii="Arial" w:eastAsia="Arial" w:hAnsi="Arial"/>
          <w:spacing w:val="-1"/>
          <w:sz w:val="28"/>
        </w:rPr>
      </w:pPr>
      <w:r w:rsidRPr="00F41B2C">
        <w:rPr>
          <w:rFonts w:ascii="Arial" w:eastAsia="Arial" w:hAnsi="Arial"/>
          <w:spacing w:val="1"/>
          <w:sz w:val="28"/>
        </w:rPr>
        <w:t>Conduct performed for a valid medical purpose does not</w:t>
      </w:r>
      <w:r w:rsidR="00CC6685" w:rsidRPr="00F41B2C">
        <w:rPr>
          <w:rFonts w:ascii="Arial" w:eastAsia="Arial" w:hAnsi="Arial"/>
          <w:spacing w:val="-1"/>
          <w:sz w:val="28"/>
        </w:rPr>
        <w:t xml:space="preserve"> violate the provisions of this law.</w:t>
      </w:r>
      <w:r w:rsidR="00ED68FF" w:rsidRPr="00F41B2C">
        <w:rPr>
          <w:rStyle w:val="FootnoteReference"/>
          <w:rFonts w:ascii="Arial" w:eastAsia="Arial" w:hAnsi="Arial"/>
          <w:spacing w:val="-1"/>
          <w:sz w:val="28"/>
        </w:rPr>
        <w:footnoteReference w:id="5"/>
      </w:r>
    </w:p>
    <w:p w14:paraId="78D9D620" w14:textId="54ABEA06" w:rsidR="00E5110B" w:rsidRPr="00F41B2C" w:rsidRDefault="007F1D71" w:rsidP="00C5783F">
      <w:pPr>
        <w:spacing w:line="325" w:lineRule="exact"/>
        <w:ind w:firstLine="720"/>
        <w:jc w:val="both"/>
        <w:textAlignment w:val="baseline"/>
        <w:rPr>
          <w:rFonts w:ascii="Arial" w:eastAsia="Arial" w:hAnsi="Arial"/>
          <w:sz w:val="28"/>
        </w:rPr>
      </w:pPr>
      <w:r w:rsidRPr="00F41B2C">
        <w:rPr>
          <w:rFonts w:ascii="Arial" w:eastAsia="Arial" w:hAnsi="Arial"/>
          <w:sz w:val="28"/>
        </w:rPr>
        <w:t>The following term</w:t>
      </w:r>
      <w:r w:rsidR="00E523EF" w:rsidRPr="00F41B2C">
        <w:rPr>
          <w:rFonts w:ascii="Arial" w:eastAsia="Arial" w:hAnsi="Arial"/>
          <w:sz w:val="28"/>
        </w:rPr>
        <w:t>s</w:t>
      </w:r>
      <w:r w:rsidRPr="00F41B2C">
        <w:rPr>
          <w:rFonts w:ascii="Arial" w:eastAsia="Arial" w:hAnsi="Arial"/>
          <w:sz w:val="28"/>
        </w:rPr>
        <w:t xml:space="preserve"> used in that definition ha</w:t>
      </w:r>
      <w:r w:rsidR="00E523EF" w:rsidRPr="00F41B2C">
        <w:rPr>
          <w:rFonts w:ascii="Arial" w:eastAsia="Arial" w:hAnsi="Arial"/>
          <w:sz w:val="28"/>
        </w:rPr>
        <w:t>ve</w:t>
      </w:r>
      <w:r w:rsidRPr="00F41B2C">
        <w:rPr>
          <w:rFonts w:ascii="Arial" w:eastAsia="Arial" w:hAnsi="Arial"/>
          <w:sz w:val="28"/>
        </w:rPr>
        <w:t xml:space="preserve"> a special meaning:</w:t>
      </w:r>
    </w:p>
    <w:p w14:paraId="1BB4F414" w14:textId="77777777" w:rsidR="00D10167" w:rsidRPr="00F41B2C" w:rsidRDefault="00D10167" w:rsidP="00C5783F">
      <w:pPr>
        <w:spacing w:line="325" w:lineRule="exact"/>
        <w:ind w:firstLine="720"/>
        <w:jc w:val="both"/>
        <w:textAlignment w:val="baseline"/>
        <w:rPr>
          <w:rFonts w:ascii="Arial" w:eastAsia="Arial" w:hAnsi="Arial"/>
          <w:sz w:val="28"/>
        </w:rPr>
      </w:pPr>
    </w:p>
    <w:p w14:paraId="0A85F395" w14:textId="1C3994B8" w:rsidR="00824D4E" w:rsidRPr="00F41B2C" w:rsidRDefault="007F1D71" w:rsidP="00C5783F">
      <w:pPr>
        <w:spacing w:line="324" w:lineRule="exact"/>
        <w:ind w:firstLine="720"/>
        <w:jc w:val="both"/>
        <w:textAlignment w:val="baseline"/>
        <w:rPr>
          <w:rFonts w:ascii="Arial" w:eastAsia="Arial" w:hAnsi="Arial"/>
          <w:spacing w:val="-4"/>
          <w:sz w:val="28"/>
        </w:rPr>
      </w:pPr>
      <w:r w:rsidRPr="00F41B2C">
        <w:rPr>
          <w:rFonts w:ascii="Arial" w:eastAsia="Arial" w:hAnsi="Arial"/>
          <w:spacing w:val="-4"/>
          <w:sz w:val="28"/>
        </w:rPr>
        <w:t>FOREIGN OBJECT means any instrument or article which, when inserted in the (</w:t>
      </w:r>
      <w:r w:rsidRPr="00F41B2C">
        <w:rPr>
          <w:rFonts w:ascii="Arial" w:eastAsia="Arial" w:hAnsi="Arial"/>
          <w:spacing w:val="-4"/>
          <w:sz w:val="28"/>
          <w:u w:val="single"/>
        </w:rPr>
        <w:t>specify</w:t>
      </w:r>
      <w:r w:rsidRPr="00F41B2C">
        <w:rPr>
          <w:rFonts w:ascii="Arial" w:eastAsia="Arial" w:hAnsi="Arial"/>
          <w:spacing w:val="-4"/>
          <w:sz w:val="28"/>
        </w:rPr>
        <w:t>), is capable of causing physical injury.</w:t>
      </w:r>
      <w:r w:rsidRPr="00F41B2C">
        <w:rPr>
          <w:rStyle w:val="FootnoteReference"/>
          <w:rFonts w:ascii="Arial" w:eastAsia="Arial" w:hAnsi="Arial"/>
          <w:spacing w:val="-4"/>
          <w:sz w:val="28"/>
        </w:rPr>
        <w:footnoteReference w:id="6"/>
      </w:r>
      <w:r w:rsidRPr="00F41B2C">
        <w:rPr>
          <w:rFonts w:ascii="Arial" w:eastAsia="Arial" w:hAnsi="Arial"/>
          <w:spacing w:val="-4"/>
          <w:sz w:val="28"/>
        </w:rPr>
        <w:t xml:space="preserve"> </w:t>
      </w:r>
    </w:p>
    <w:p w14:paraId="78D9D621" w14:textId="680B0EAA" w:rsidR="00E5110B" w:rsidRPr="00F41B2C" w:rsidRDefault="007F1D71">
      <w:pPr>
        <w:spacing w:before="324" w:line="324" w:lineRule="exact"/>
        <w:ind w:firstLine="720"/>
        <w:jc w:val="both"/>
        <w:textAlignment w:val="baseline"/>
        <w:rPr>
          <w:rFonts w:ascii="Arial" w:eastAsia="Arial" w:hAnsi="Arial"/>
          <w:spacing w:val="-4"/>
          <w:sz w:val="16"/>
        </w:rPr>
      </w:pPr>
      <w:r w:rsidRPr="00F41B2C">
        <w:rPr>
          <w:rFonts w:ascii="Arial" w:eastAsia="Arial" w:hAnsi="Arial"/>
          <w:spacing w:val="-4"/>
          <w:sz w:val="28"/>
        </w:rPr>
        <w:t>PHYSICAL INJURY means impairment of physical condition or substantial pain.</w:t>
      </w:r>
      <w:r w:rsidRPr="00F41B2C">
        <w:rPr>
          <w:rStyle w:val="FootnoteReference"/>
          <w:rFonts w:ascii="Arial" w:eastAsia="Arial" w:hAnsi="Arial"/>
          <w:spacing w:val="-4"/>
          <w:sz w:val="28"/>
        </w:rPr>
        <w:footnoteReference w:id="7"/>
      </w:r>
      <w:r w:rsidRPr="00F41B2C">
        <w:rPr>
          <w:rFonts w:ascii="Arial" w:eastAsia="Arial" w:hAnsi="Arial"/>
          <w:spacing w:val="-4"/>
          <w:sz w:val="16"/>
        </w:rPr>
        <w:t xml:space="preserve"> </w:t>
      </w:r>
    </w:p>
    <w:p w14:paraId="78D9D622" w14:textId="77777777" w:rsidR="00E5110B" w:rsidRPr="00F41B2C" w:rsidRDefault="007F1D71">
      <w:pPr>
        <w:spacing w:before="327" w:line="324" w:lineRule="exact"/>
        <w:ind w:firstLine="720"/>
        <w:jc w:val="both"/>
        <w:textAlignment w:val="baseline"/>
        <w:rPr>
          <w:rFonts w:ascii="Arial" w:eastAsia="Arial" w:hAnsi="Arial"/>
          <w:spacing w:val="-4"/>
          <w:sz w:val="28"/>
        </w:rPr>
      </w:pPr>
      <w:r w:rsidRPr="00F41B2C">
        <w:rPr>
          <w:rFonts w:ascii="Arial" w:eastAsia="Arial" w:hAnsi="Arial"/>
          <w:spacing w:val="-4"/>
          <w:sz w:val="28"/>
        </w:rPr>
        <w:t>In order for you to find the defendant guilty of this crime, the People are required to prove, from all of the evidence in the case beyond a reasonable doubt, both of the following two elements:</w:t>
      </w:r>
    </w:p>
    <w:p w14:paraId="0AC050F9" w14:textId="55FA5A3F" w:rsidR="007F2EAA" w:rsidRPr="00F41B2C" w:rsidRDefault="007F1D71" w:rsidP="007F2EAA">
      <w:pPr>
        <w:numPr>
          <w:ilvl w:val="0"/>
          <w:numId w:val="1"/>
        </w:numPr>
        <w:tabs>
          <w:tab w:val="clear" w:pos="720"/>
          <w:tab w:val="left" w:pos="1440"/>
        </w:tabs>
        <w:spacing w:before="327" w:after="120" w:line="324" w:lineRule="exact"/>
        <w:ind w:left="1440" w:hanging="720"/>
        <w:jc w:val="both"/>
        <w:textAlignment w:val="baseline"/>
        <w:rPr>
          <w:rFonts w:ascii="Arial" w:eastAsia="Arial" w:hAnsi="Arial"/>
          <w:sz w:val="28"/>
        </w:rPr>
      </w:pPr>
      <w:r w:rsidRPr="00F41B2C">
        <w:rPr>
          <w:rFonts w:ascii="Arial" w:eastAsia="Arial" w:hAnsi="Arial"/>
          <w:sz w:val="28"/>
        </w:rPr>
        <w:t xml:space="preserve">That on or about </w:t>
      </w:r>
      <w:r w:rsidRPr="00F41B2C">
        <w:rPr>
          <w:rFonts w:ascii="Arial" w:eastAsia="Arial" w:hAnsi="Arial"/>
          <w:i/>
          <w:sz w:val="28"/>
          <w:u w:val="single"/>
        </w:rPr>
        <w:t xml:space="preserve"> (date) </w:t>
      </w:r>
      <w:r w:rsidRPr="00F41B2C">
        <w:rPr>
          <w:rFonts w:ascii="Arial" w:eastAsia="Arial" w:hAnsi="Arial"/>
          <w:sz w:val="28"/>
        </w:rPr>
        <w:t xml:space="preserve"> , in the county of </w:t>
      </w:r>
      <w:r w:rsidRPr="00F41B2C">
        <w:rPr>
          <w:rFonts w:ascii="Arial" w:eastAsia="Arial" w:hAnsi="Arial"/>
          <w:i/>
          <w:sz w:val="28"/>
          <w:u w:val="single"/>
        </w:rPr>
        <w:t xml:space="preserve"> (County)</w:t>
      </w:r>
      <w:r w:rsidRPr="00F41B2C">
        <w:rPr>
          <w:rFonts w:ascii="Arial" w:eastAsia="Arial" w:hAnsi="Arial"/>
          <w:sz w:val="28"/>
        </w:rPr>
        <w:t xml:space="preserve">, the defendant, </w:t>
      </w:r>
      <w:r w:rsidRPr="00F41B2C">
        <w:rPr>
          <w:rFonts w:ascii="Arial" w:eastAsia="Arial" w:hAnsi="Arial"/>
          <w:i/>
          <w:sz w:val="28"/>
          <w:u w:val="single"/>
        </w:rPr>
        <w:t>(name of defendant)</w:t>
      </w:r>
      <w:r w:rsidRPr="00F41B2C">
        <w:rPr>
          <w:rFonts w:ascii="Arial" w:eastAsia="Arial" w:hAnsi="Arial"/>
          <w:sz w:val="28"/>
        </w:rPr>
        <w:t xml:space="preserve">, without a valid medical purpose, inserted a </w:t>
      </w:r>
    </w:p>
    <w:p w14:paraId="5A92A8C9" w14:textId="77777777" w:rsidR="000F5028" w:rsidRPr="00F41B2C" w:rsidRDefault="00000000" w:rsidP="007F2EAA">
      <w:pPr>
        <w:spacing w:after="120" w:line="324" w:lineRule="exact"/>
        <w:ind w:left="1440"/>
        <w:jc w:val="both"/>
        <w:textAlignment w:val="baseline"/>
        <w:rPr>
          <w:rFonts w:ascii="Arial" w:eastAsia="Arial" w:hAnsi="Arial"/>
          <w:sz w:val="28"/>
          <w:u w:val="single"/>
        </w:rPr>
      </w:pPr>
      <w:r w:rsidRPr="00F41B2C">
        <w:rPr>
          <w:rFonts w:ascii="Arial" w:eastAsia="Arial" w:hAnsi="Arial"/>
          <w:sz w:val="28"/>
          <w:u w:val="single"/>
        </w:rPr>
        <w:t xml:space="preserve">Select appropriate alternative(s): </w:t>
      </w:r>
    </w:p>
    <w:p w14:paraId="476209A0" w14:textId="77777777" w:rsidR="000F5028" w:rsidRPr="00F41B2C" w:rsidRDefault="00000000" w:rsidP="00F631EA">
      <w:pPr>
        <w:spacing w:line="324" w:lineRule="exact"/>
        <w:ind w:left="2160"/>
        <w:jc w:val="both"/>
        <w:textAlignment w:val="baseline"/>
        <w:rPr>
          <w:rFonts w:ascii="Arial" w:eastAsia="Arial" w:hAnsi="Arial"/>
          <w:sz w:val="28"/>
        </w:rPr>
      </w:pPr>
      <w:r w:rsidRPr="00F41B2C">
        <w:rPr>
          <w:rFonts w:ascii="Arial" w:eastAsia="Arial" w:hAnsi="Arial"/>
          <w:sz w:val="28"/>
        </w:rPr>
        <w:t xml:space="preserve">foreign object </w:t>
      </w:r>
    </w:p>
    <w:p w14:paraId="17181A77" w14:textId="77777777" w:rsidR="0040528A" w:rsidRPr="00F41B2C" w:rsidRDefault="00000000" w:rsidP="00F631EA">
      <w:pPr>
        <w:spacing w:line="324" w:lineRule="exact"/>
        <w:ind w:left="2160"/>
        <w:jc w:val="both"/>
        <w:textAlignment w:val="baseline"/>
        <w:rPr>
          <w:rFonts w:ascii="Arial" w:eastAsia="Arial" w:hAnsi="Arial"/>
          <w:sz w:val="28"/>
        </w:rPr>
      </w:pPr>
      <w:r w:rsidRPr="00F41B2C">
        <w:rPr>
          <w:rFonts w:ascii="Arial" w:eastAsia="Arial" w:hAnsi="Arial"/>
          <w:sz w:val="28"/>
        </w:rPr>
        <w:t xml:space="preserve">[or] a finger </w:t>
      </w:r>
    </w:p>
    <w:p w14:paraId="648E863D" w14:textId="77777777" w:rsidR="0040528A" w:rsidRPr="00F41B2C" w:rsidRDefault="0040528A" w:rsidP="0040528A">
      <w:pPr>
        <w:tabs>
          <w:tab w:val="left" w:pos="720"/>
          <w:tab w:val="left" w:pos="1440"/>
        </w:tabs>
        <w:spacing w:before="327" w:line="324" w:lineRule="exact"/>
        <w:ind w:left="1440"/>
        <w:jc w:val="both"/>
        <w:textAlignment w:val="baseline"/>
        <w:rPr>
          <w:rFonts w:ascii="Arial" w:eastAsia="Arial" w:hAnsi="Arial"/>
          <w:sz w:val="28"/>
        </w:rPr>
      </w:pPr>
    </w:p>
    <w:p w14:paraId="78D9D623" w14:textId="2B685ACD" w:rsidR="00E5110B" w:rsidRPr="00F41B2C" w:rsidRDefault="0040528A" w:rsidP="0040528A">
      <w:pPr>
        <w:tabs>
          <w:tab w:val="left" w:pos="720"/>
          <w:tab w:val="left" w:pos="1440"/>
        </w:tabs>
        <w:spacing w:before="327" w:line="324" w:lineRule="exact"/>
        <w:ind w:left="1440"/>
        <w:jc w:val="both"/>
        <w:textAlignment w:val="baseline"/>
        <w:rPr>
          <w:rFonts w:ascii="Arial" w:eastAsia="Arial" w:hAnsi="Arial"/>
          <w:sz w:val="28"/>
        </w:rPr>
      </w:pPr>
      <w:r w:rsidRPr="00F41B2C">
        <w:rPr>
          <w:rFonts w:ascii="Arial" w:eastAsia="Arial" w:hAnsi="Arial"/>
          <w:sz w:val="28"/>
        </w:rPr>
        <w:t xml:space="preserve">in </w:t>
      </w:r>
      <w:r w:rsidR="007F1D71" w:rsidRPr="00F41B2C">
        <w:rPr>
          <w:rFonts w:ascii="Arial" w:eastAsia="Arial" w:hAnsi="Arial"/>
          <w:sz w:val="28"/>
        </w:rPr>
        <w:t xml:space="preserve">the </w:t>
      </w:r>
      <w:r w:rsidRPr="00F41B2C">
        <w:rPr>
          <w:rFonts w:ascii="Arial" w:eastAsia="Arial" w:hAnsi="Arial"/>
          <w:sz w:val="28"/>
        </w:rPr>
        <w:t>(</w:t>
      </w:r>
      <w:r w:rsidRPr="00F41B2C">
        <w:rPr>
          <w:rFonts w:ascii="Arial" w:eastAsia="Arial" w:hAnsi="Arial"/>
          <w:i/>
          <w:iCs/>
          <w:sz w:val="28"/>
          <w:u w:val="single"/>
        </w:rPr>
        <w:t>specify</w:t>
      </w:r>
      <w:r w:rsidRPr="00F41B2C">
        <w:rPr>
          <w:rFonts w:ascii="Arial" w:eastAsia="Arial" w:hAnsi="Arial"/>
          <w:sz w:val="28"/>
        </w:rPr>
        <w:t xml:space="preserve">) </w:t>
      </w:r>
      <w:r w:rsidR="007F1D71" w:rsidRPr="00F41B2C">
        <w:rPr>
          <w:rFonts w:ascii="Arial" w:eastAsia="Arial" w:hAnsi="Arial"/>
          <w:sz w:val="28"/>
        </w:rPr>
        <w:t>of (</w:t>
      </w:r>
      <w:r w:rsidR="007F1D71" w:rsidRPr="00F41B2C">
        <w:rPr>
          <w:rFonts w:ascii="Arial" w:eastAsia="Arial" w:hAnsi="Arial"/>
          <w:i/>
          <w:sz w:val="28"/>
          <w:u w:val="single"/>
        </w:rPr>
        <w:t>complainant’s name</w:t>
      </w:r>
      <w:r w:rsidR="007F1D71" w:rsidRPr="00F41B2C">
        <w:rPr>
          <w:rFonts w:ascii="Arial" w:eastAsia="Arial" w:hAnsi="Arial"/>
          <w:sz w:val="28"/>
        </w:rPr>
        <w:t>); and</w:t>
      </w:r>
    </w:p>
    <w:p w14:paraId="78D9D624" w14:textId="77777777" w:rsidR="00E5110B" w:rsidRPr="00F41B2C" w:rsidRDefault="007F1D71">
      <w:pPr>
        <w:numPr>
          <w:ilvl w:val="0"/>
          <w:numId w:val="1"/>
        </w:numPr>
        <w:tabs>
          <w:tab w:val="clear" w:pos="720"/>
          <w:tab w:val="left" w:pos="1440"/>
        </w:tabs>
        <w:spacing w:before="319" w:line="326" w:lineRule="exact"/>
        <w:ind w:left="1440" w:hanging="720"/>
        <w:jc w:val="both"/>
        <w:textAlignment w:val="baseline"/>
        <w:rPr>
          <w:rFonts w:ascii="Arial" w:eastAsia="Arial" w:hAnsi="Arial"/>
          <w:sz w:val="28"/>
        </w:rPr>
      </w:pPr>
      <w:r w:rsidRPr="00F41B2C">
        <w:rPr>
          <w:rFonts w:ascii="Arial" w:eastAsia="Arial" w:hAnsi="Arial"/>
          <w:sz w:val="28"/>
        </w:rPr>
        <w:t>That (</w:t>
      </w:r>
      <w:r w:rsidRPr="00F41B2C">
        <w:rPr>
          <w:rFonts w:ascii="Arial" w:eastAsia="Arial" w:hAnsi="Arial"/>
          <w:i/>
          <w:sz w:val="28"/>
          <w:u w:val="single"/>
        </w:rPr>
        <w:t>complainant’s name</w:t>
      </w:r>
      <w:r w:rsidRPr="00F41B2C">
        <w:rPr>
          <w:rFonts w:ascii="Arial" w:eastAsia="Arial" w:hAnsi="Arial"/>
          <w:sz w:val="28"/>
        </w:rPr>
        <w:t>) was less than eleven (11) years old.</w:t>
      </w:r>
    </w:p>
    <w:p w14:paraId="78D9D625" w14:textId="77777777" w:rsidR="00E5110B" w:rsidRPr="00F41B2C" w:rsidRDefault="007F1D71">
      <w:pPr>
        <w:spacing w:before="319" w:line="324" w:lineRule="exact"/>
        <w:ind w:firstLine="720"/>
        <w:jc w:val="both"/>
        <w:textAlignment w:val="baseline"/>
        <w:rPr>
          <w:rFonts w:ascii="Arial" w:eastAsia="Arial" w:hAnsi="Arial"/>
          <w:sz w:val="28"/>
        </w:rPr>
      </w:pPr>
      <w:r w:rsidRPr="00F41B2C">
        <w:rPr>
          <w:rFonts w:ascii="Arial" w:eastAsia="Arial" w:hAnsi="Arial"/>
          <w:sz w:val="28"/>
        </w:rPr>
        <w:t>If you find the People have proven beyond a reasonable doubt both of those elements, you must find the defendant guilty of this crime.</w:t>
      </w:r>
    </w:p>
    <w:p w14:paraId="78D9D626" w14:textId="77777777" w:rsidR="00E5110B" w:rsidRPr="00F41B2C" w:rsidRDefault="007F1D71">
      <w:pPr>
        <w:spacing w:before="329" w:after="1239" w:line="324" w:lineRule="exact"/>
        <w:ind w:firstLine="720"/>
        <w:jc w:val="both"/>
        <w:textAlignment w:val="baseline"/>
        <w:rPr>
          <w:rFonts w:ascii="Arial" w:eastAsia="Arial" w:hAnsi="Arial"/>
          <w:spacing w:val="-3"/>
          <w:sz w:val="28"/>
        </w:rPr>
      </w:pPr>
      <w:r w:rsidRPr="00F41B2C">
        <w:rPr>
          <w:rFonts w:ascii="Arial" w:eastAsia="Arial" w:hAnsi="Arial"/>
          <w:spacing w:val="-3"/>
          <w:sz w:val="28"/>
        </w:rPr>
        <w:t>If you find the People have not proven beyond a reasonable doubt either one or both of those elements, you must find the defendant not guilty of this crime.</w:t>
      </w:r>
    </w:p>
    <w:sectPr w:rsidR="00E5110B" w:rsidRPr="00F41B2C">
      <w:pgSz w:w="12240" w:h="15840"/>
      <w:pgMar w:top="1240" w:right="2126" w:bottom="844" w:left="215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D2CCD" w14:textId="77777777" w:rsidR="00852015" w:rsidRDefault="00852015" w:rsidP="00FF3664">
      <w:r>
        <w:separator/>
      </w:r>
    </w:p>
  </w:endnote>
  <w:endnote w:type="continuationSeparator" w:id="0">
    <w:p w14:paraId="6345C731" w14:textId="77777777" w:rsidR="00852015" w:rsidRDefault="00852015" w:rsidP="00FF3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AD04E" w14:textId="77777777" w:rsidR="00852015" w:rsidRDefault="00852015" w:rsidP="00FF3664">
      <w:r>
        <w:separator/>
      </w:r>
    </w:p>
  </w:footnote>
  <w:footnote w:type="continuationSeparator" w:id="0">
    <w:p w14:paraId="633739D4" w14:textId="77777777" w:rsidR="00852015" w:rsidRDefault="00852015" w:rsidP="00FF3664">
      <w:r>
        <w:continuationSeparator/>
      </w:r>
    </w:p>
  </w:footnote>
  <w:footnote w:id="1">
    <w:p w14:paraId="23E5FB74" w14:textId="10008BE3" w:rsidR="00FF3664" w:rsidRPr="00F41B2C" w:rsidRDefault="00FF3664" w:rsidP="00FF3664">
      <w:pPr>
        <w:pStyle w:val="FootnoteText"/>
        <w:jc w:val="both"/>
        <w:rPr>
          <w:rFonts w:ascii="Arial" w:eastAsia="Arial" w:hAnsi="Arial" w:cs="Arial"/>
          <w:spacing w:val="-2"/>
          <w:sz w:val="22"/>
          <w:szCs w:val="22"/>
        </w:rPr>
      </w:pPr>
      <w:r w:rsidRPr="00F41B2C">
        <w:rPr>
          <w:rStyle w:val="FootnoteReference"/>
          <w:rFonts w:ascii="Arial" w:hAnsi="Arial" w:cs="Arial"/>
          <w:sz w:val="22"/>
          <w:szCs w:val="22"/>
        </w:rPr>
        <w:footnoteRef/>
      </w:r>
      <w:r w:rsidRPr="00F41B2C">
        <w:rPr>
          <w:rFonts w:ascii="Arial" w:hAnsi="Arial" w:cs="Arial"/>
          <w:sz w:val="22"/>
          <w:szCs w:val="22"/>
        </w:rPr>
        <w:t xml:space="preserve"> </w:t>
      </w:r>
      <w:r w:rsidRPr="00F41B2C">
        <w:rPr>
          <w:rFonts w:ascii="Arial" w:eastAsia="Arial" w:hAnsi="Arial" w:cs="Arial"/>
          <w:spacing w:val="-2"/>
          <w:sz w:val="22"/>
          <w:szCs w:val="22"/>
        </w:rPr>
        <w:t xml:space="preserve">The first revision was for the purpose of adding “or anus” to the definition as required by the L. 2009, c. 485, effective January 7, 2010. </w:t>
      </w:r>
      <w:bookmarkStart w:id="0" w:name="_Hlk123941950"/>
      <w:r w:rsidRPr="00F41B2C">
        <w:rPr>
          <w:rFonts w:ascii="Arial" w:eastAsia="Arial" w:hAnsi="Arial" w:cs="Arial"/>
          <w:spacing w:val="-2"/>
          <w:sz w:val="22"/>
          <w:szCs w:val="22"/>
        </w:rPr>
        <w:t>Thus, the definition, with that term included, is applicable to a crime committed on or after January 7, 2010.  For a crime committed on or after November 1,</w:t>
      </w:r>
      <w:r w:rsidR="00BD45C0" w:rsidRPr="00F41B2C">
        <w:rPr>
          <w:rFonts w:ascii="Arial" w:eastAsia="Arial" w:hAnsi="Arial" w:cs="Arial"/>
          <w:spacing w:val="-2"/>
          <w:sz w:val="22"/>
          <w:szCs w:val="22"/>
        </w:rPr>
        <w:t xml:space="preserve"> 1996 </w:t>
      </w:r>
      <w:r w:rsidRPr="00F41B2C">
        <w:rPr>
          <w:rFonts w:ascii="Arial" w:eastAsia="Arial" w:hAnsi="Arial" w:cs="Arial"/>
          <w:spacing w:val="-2"/>
          <w:sz w:val="22"/>
          <w:szCs w:val="22"/>
        </w:rPr>
        <w:t>and before January 7, 2010, omit “anus.”</w:t>
      </w:r>
    </w:p>
    <w:bookmarkEnd w:id="0"/>
    <w:p w14:paraId="48EC6177" w14:textId="6BFBB239" w:rsidR="00FF3664" w:rsidRPr="00F41B2C" w:rsidRDefault="00FF3664" w:rsidP="00FF3664">
      <w:pPr>
        <w:pStyle w:val="FootnoteText"/>
        <w:jc w:val="both"/>
        <w:rPr>
          <w:rFonts w:ascii="Arial" w:eastAsia="Arial" w:hAnsi="Arial" w:cs="Arial"/>
          <w:spacing w:val="-2"/>
          <w:sz w:val="22"/>
          <w:szCs w:val="22"/>
        </w:rPr>
      </w:pPr>
      <w:r w:rsidRPr="00F41B2C">
        <w:rPr>
          <w:rFonts w:ascii="Arial" w:eastAsia="Arial" w:hAnsi="Arial" w:cs="Arial"/>
          <w:spacing w:val="-2"/>
          <w:sz w:val="22"/>
          <w:szCs w:val="22"/>
        </w:rPr>
        <w:t xml:space="preserve">   The second revision was for the purpose of adding “or a finger” to the definition as required by the L. 2022, c. 645, effective January 22, 2023.  Thus, the definition, with that term included, is applicable to a crime committed on or after January 22, 2023.    For a crime committed on or after November 1, 19</w:t>
      </w:r>
      <w:r w:rsidR="00477F1C" w:rsidRPr="00F41B2C">
        <w:rPr>
          <w:rFonts w:ascii="Arial" w:eastAsia="Arial" w:hAnsi="Arial" w:cs="Arial"/>
          <w:spacing w:val="-2"/>
          <w:sz w:val="22"/>
          <w:szCs w:val="22"/>
        </w:rPr>
        <w:t>96</w:t>
      </w:r>
      <w:r w:rsidRPr="00F41B2C">
        <w:rPr>
          <w:rFonts w:ascii="Arial" w:eastAsia="Arial" w:hAnsi="Arial" w:cs="Arial"/>
          <w:spacing w:val="-2"/>
          <w:sz w:val="22"/>
          <w:szCs w:val="22"/>
        </w:rPr>
        <w:t xml:space="preserve"> and before January</w:t>
      </w:r>
      <w:r w:rsidR="006F7B3B" w:rsidRPr="00F41B2C">
        <w:rPr>
          <w:rFonts w:ascii="Arial" w:eastAsia="Arial" w:hAnsi="Arial" w:cs="Arial"/>
          <w:spacing w:val="-2"/>
          <w:sz w:val="22"/>
          <w:szCs w:val="22"/>
        </w:rPr>
        <w:t xml:space="preserve"> 22, 2023, </w:t>
      </w:r>
      <w:r w:rsidRPr="00F41B2C">
        <w:rPr>
          <w:rFonts w:ascii="Arial" w:eastAsia="Arial" w:hAnsi="Arial" w:cs="Arial"/>
          <w:spacing w:val="-2"/>
          <w:sz w:val="22"/>
          <w:szCs w:val="22"/>
        </w:rPr>
        <w:t>omit “or a finger.”</w:t>
      </w:r>
    </w:p>
    <w:p w14:paraId="2F63E148" w14:textId="77777777" w:rsidR="00FF3664" w:rsidRPr="00F41B2C" w:rsidRDefault="00FF3664" w:rsidP="00FF3664">
      <w:pPr>
        <w:pStyle w:val="FootnoteText"/>
        <w:jc w:val="both"/>
        <w:rPr>
          <w:rFonts w:ascii="Arial" w:hAnsi="Arial" w:cs="Arial"/>
          <w:sz w:val="22"/>
          <w:szCs w:val="22"/>
        </w:rPr>
      </w:pPr>
      <w:r w:rsidRPr="00F41B2C">
        <w:rPr>
          <w:rFonts w:ascii="Arial" w:hAnsi="Arial" w:cs="Arial"/>
          <w:sz w:val="22"/>
          <w:szCs w:val="22"/>
        </w:rPr>
        <w:t xml:space="preserve">  </w:t>
      </w:r>
    </w:p>
  </w:footnote>
  <w:footnote w:id="2">
    <w:p w14:paraId="6B68334E" w14:textId="77777777" w:rsidR="00201EF4" w:rsidRPr="00F41B2C" w:rsidRDefault="00201EF4" w:rsidP="00201EF4">
      <w:pPr>
        <w:pStyle w:val="FootnoteText"/>
        <w:jc w:val="both"/>
        <w:rPr>
          <w:rFonts w:ascii="Arial" w:eastAsia="Arial" w:hAnsi="Arial" w:cs="Arial"/>
          <w:sz w:val="22"/>
          <w:szCs w:val="22"/>
        </w:rPr>
      </w:pPr>
      <w:r w:rsidRPr="00F41B2C">
        <w:rPr>
          <w:rStyle w:val="FootnoteReference"/>
          <w:rFonts w:ascii="Arial" w:hAnsi="Arial" w:cs="Arial"/>
          <w:sz w:val="22"/>
          <w:szCs w:val="22"/>
        </w:rPr>
        <w:footnoteRef/>
      </w:r>
      <w:r w:rsidRPr="00F41B2C">
        <w:rPr>
          <w:rFonts w:ascii="Arial" w:hAnsi="Arial" w:cs="Arial"/>
          <w:sz w:val="22"/>
          <w:szCs w:val="22"/>
        </w:rPr>
        <w:t xml:space="preserve"> </w:t>
      </w:r>
      <w:r w:rsidRPr="00F41B2C">
        <w:rPr>
          <w:rFonts w:ascii="Arial" w:eastAsia="Arial" w:hAnsi="Arial" w:cs="Arial"/>
          <w:sz w:val="22"/>
          <w:szCs w:val="22"/>
        </w:rPr>
        <w:t>Penal Law § 130.05 (1).</w:t>
      </w:r>
    </w:p>
    <w:p w14:paraId="17851AC5" w14:textId="77777777" w:rsidR="00201EF4" w:rsidRPr="00F41B2C" w:rsidRDefault="00201EF4" w:rsidP="00201EF4">
      <w:pPr>
        <w:pStyle w:val="FootnoteText"/>
        <w:jc w:val="both"/>
        <w:rPr>
          <w:sz w:val="22"/>
          <w:szCs w:val="22"/>
        </w:rPr>
      </w:pPr>
    </w:p>
  </w:footnote>
  <w:footnote w:id="3">
    <w:p w14:paraId="448821E9" w14:textId="6671EFFE" w:rsidR="00201EF4" w:rsidRPr="00F41B2C" w:rsidRDefault="00201EF4" w:rsidP="00F41B2C">
      <w:pPr>
        <w:pStyle w:val="FootnoteText"/>
        <w:spacing w:after="100" w:afterAutospacing="1"/>
      </w:pPr>
      <w:r w:rsidRPr="00F41B2C">
        <w:rPr>
          <w:rStyle w:val="FootnoteReference"/>
          <w:sz w:val="22"/>
          <w:szCs w:val="22"/>
        </w:rPr>
        <w:footnoteRef/>
      </w:r>
      <w:r w:rsidRPr="00F41B2C">
        <w:rPr>
          <w:sz w:val="22"/>
          <w:szCs w:val="22"/>
        </w:rPr>
        <w:t xml:space="preserve"> </w:t>
      </w:r>
      <w:r w:rsidRPr="00F41B2C">
        <w:rPr>
          <w:rFonts w:ascii="Arial" w:eastAsia="Arial" w:hAnsi="Arial"/>
          <w:i/>
          <w:iCs/>
          <w:sz w:val="22"/>
          <w:szCs w:val="22"/>
        </w:rPr>
        <w:t xml:space="preserve">See </w:t>
      </w:r>
      <w:r w:rsidRPr="00F41B2C">
        <w:rPr>
          <w:rFonts w:ascii="Arial" w:eastAsia="Arial" w:hAnsi="Arial"/>
          <w:sz w:val="22"/>
          <w:szCs w:val="22"/>
        </w:rPr>
        <w:t>Penal Law § 130.05 (3) (a).</w:t>
      </w:r>
    </w:p>
  </w:footnote>
  <w:footnote w:id="4">
    <w:p w14:paraId="0A6DD2BE" w14:textId="77777777" w:rsidR="00CC6685" w:rsidRPr="00F41B2C" w:rsidRDefault="00CC6685" w:rsidP="00F41B2C">
      <w:pPr>
        <w:spacing w:after="100" w:afterAutospacing="1" w:line="276" w:lineRule="exact"/>
        <w:textAlignment w:val="baseline"/>
        <w:rPr>
          <w:rFonts w:ascii="Arial" w:eastAsia="Arial" w:hAnsi="Arial"/>
          <w:vertAlign w:val="superscript"/>
        </w:rPr>
      </w:pPr>
      <w:r w:rsidRPr="00F41B2C">
        <w:rPr>
          <w:rStyle w:val="FootnoteReference"/>
        </w:rPr>
        <w:footnoteRef/>
      </w:r>
      <w:r w:rsidRPr="00F41B2C">
        <w:t xml:space="preserve"> </w:t>
      </w:r>
      <w:r w:rsidRPr="00F41B2C">
        <w:rPr>
          <w:rFonts w:ascii="Arial" w:eastAsia="Arial" w:hAnsi="Arial"/>
        </w:rPr>
        <w:t>See Penal Law § 15.20 (3).</w:t>
      </w:r>
    </w:p>
    <w:p w14:paraId="22939662" w14:textId="323A77B3" w:rsidR="00CC6685" w:rsidRPr="00F41B2C" w:rsidRDefault="00CC6685" w:rsidP="00F41B2C">
      <w:pPr>
        <w:pStyle w:val="FootnoteText"/>
      </w:pPr>
    </w:p>
  </w:footnote>
  <w:footnote w:id="5">
    <w:p w14:paraId="187F7592" w14:textId="64AB5384" w:rsidR="00ED68FF" w:rsidRPr="00F41B2C" w:rsidRDefault="00ED68FF" w:rsidP="00F41B2C">
      <w:pPr>
        <w:pStyle w:val="FootnoteText"/>
        <w:rPr>
          <w:rFonts w:ascii="Arial" w:eastAsia="Arial" w:hAnsi="Arial"/>
          <w:sz w:val="22"/>
          <w:szCs w:val="22"/>
        </w:rPr>
      </w:pPr>
      <w:r w:rsidRPr="00F41B2C">
        <w:rPr>
          <w:rStyle w:val="FootnoteReference"/>
        </w:rPr>
        <w:footnoteRef/>
      </w:r>
      <w:r w:rsidRPr="00F41B2C">
        <w:t xml:space="preserve"> </w:t>
      </w:r>
      <w:r w:rsidRPr="00F41B2C">
        <w:rPr>
          <w:rFonts w:ascii="Arial" w:eastAsia="Arial" w:hAnsi="Arial"/>
          <w:sz w:val="22"/>
          <w:szCs w:val="22"/>
        </w:rPr>
        <w:t>Penal Law § 130.65-a (2).</w:t>
      </w:r>
    </w:p>
    <w:p w14:paraId="738989F0" w14:textId="77777777" w:rsidR="007F1D71" w:rsidRPr="00F41B2C" w:rsidRDefault="007F1D71" w:rsidP="007F2EAA">
      <w:pPr>
        <w:pStyle w:val="FootnoteText"/>
      </w:pPr>
    </w:p>
  </w:footnote>
  <w:footnote w:id="6">
    <w:p w14:paraId="46BE16E8" w14:textId="3AB695A6" w:rsidR="007F1D71" w:rsidRPr="00F41B2C" w:rsidRDefault="007F1D71" w:rsidP="007F2EAA">
      <w:pPr>
        <w:pStyle w:val="FootnoteText"/>
        <w:rPr>
          <w:rFonts w:ascii="Arial" w:eastAsia="Arial" w:hAnsi="Arial"/>
          <w:sz w:val="22"/>
          <w:szCs w:val="22"/>
        </w:rPr>
      </w:pPr>
      <w:r w:rsidRPr="00F41B2C">
        <w:rPr>
          <w:rStyle w:val="FootnoteReference"/>
        </w:rPr>
        <w:footnoteRef/>
      </w:r>
      <w:r w:rsidRPr="00F41B2C">
        <w:t xml:space="preserve"> </w:t>
      </w:r>
      <w:r w:rsidRPr="00F41B2C">
        <w:rPr>
          <w:rFonts w:ascii="Arial" w:eastAsia="Arial" w:hAnsi="Arial"/>
          <w:sz w:val="22"/>
          <w:szCs w:val="22"/>
        </w:rPr>
        <w:t>Penal Law § 130.00 (9).</w:t>
      </w:r>
    </w:p>
    <w:p w14:paraId="35A9E43A" w14:textId="77777777" w:rsidR="007F1D71" w:rsidRPr="00F41B2C" w:rsidRDefault="007F1D71" w:rsidP="007F2EAA">
      <w:pPr>
        <w:pStyle w:val="FootnoteText"/>
      </w:pPr>
    </w:p>
  </w:footnote>
  <w:footnote w:id="7">
    <w:p w14:paraId="4E9F5621" w14:textId="1A90C801" w:rsidR="007F1D71" w:rsidRPr="00F41B2C" w:rsidRDefault="007F1D71" w:rsidP="007F2EAA">
      <w:pPr>
        <w:pStyle w:val="FootnoteText"/>
      </w:pPr>
      <w:r w:rsidRPr="00F41B2C">
        <w:rPr>
          <w:rStyle w:val="FootnoteReference"/>
        </w:rPr>
        <w:footnoteRef/>
      </w:r>
      <w:r w:rsidRPr="00F41B2C">
        <w:t xml:space="preserve"> </w:t>
      </w:r>
      <w:r w:rsidRPr="00F41B2C">
        <w:rPr>
          <w:rFonts w:ascii="Arial" w:eastAsia="Arial" w:hAnsi="Arial"/>
          <w:sz w:val="22"/>
          <w:szCs w:val="22"/>
        </w:rPr>
        <w:t xml:space="preserve">Penal Law § 10.00 (9); </w:t>
      </w:r>
      <w:r w:rsidR="004E3868" w:rsidRPr="00F41B2C">
        <w:rPr>
          <w:rFonts w:ascii="Arial" w:eastAsia="Arial" w:hAnsi="Arial"/>
          <w:i/>
          <w:sz w:val="22"/>
          <w:szCs w:val="22"/>
        </w:rPr>
        <w:t>s</w:t>
      </w:r>
      <w:r w:rsidRPr="00F41B2C">
        <w:rPr>
          <w:rFonts w:ascii="Arial" w:eastAsia="Arial" w:hAnsi="Arial"/>
          <w:i/>
          <w:sz w:val="22"/>
          <w:szCs w:val="22"/>
        </w:rPr>
        <w:t>ee People v Chiddick</w:t>
      </w:r>
      <w:r w:rsidRPr="00F41B2C">
        <w:rPr>
          <w:rFonts w:ascii="Arial" w:eastAsia="Arial" w:hAnsi="Arial"/>
          <w:sz w:val="22"/>
          <w:szCs w:val="22"/>
        </w:rPr>
        <w:t>, 8 NY3d 445 (2007).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F6315E"/>
    <w:multiLevelType w:val="multilevel"/>
    <w:tmpl w:val="4A7285D0"/>
    <w:lvl w:ilvl="0">
      <w:start w:val="1"/>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26630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E5110B"/>
    <w:rsid w:val="00002092"/>
    <w:rsid w:val="000457E7"/>
    <w:rsid w:val="000E7E3F"/>
    <w:rsid w:val="001F2EA4"/>
    <w:rsid w:val="00201EF4"/>
    <w:rsid w:val="00361E43"/>
    <w:rsid w:val="003E3FF0"/>
    <w:rsid w:val="0040528A"/>
    <w:rsid w:val="0046177D"/>
    <w:rsid w:val="00477F1C"/>
    <w:rsid w:val="00497041"/>
    <w:rsid w:val="004E3868"/>
    <w:rsid w:val="00526C66"/>
    <w:rsid w:val="005E3D35"/>
    <w:rsid w:val="005F22DD"/>
    <w:rsid w:val="00672898"/>
    <w:rsid w:val="006F4F64"/>
    <w:rsid w:val="006F7B3B"/>
    <w:rsid w:val="007B1692"/>
    <w:rsid w:val="007F1D71"/>
    <w:rsid w:val="007F2BDD"/>
    <w:rsid w:val="007F2EAA"/>
    <w:rsid w:val="00824D4E"/>
    <w:rsid w:val="00852015"/>
    <w:rsid w:val="00857418"/>
    <w:rsid w:val="009E7AAA"/>
    <w:rsid w:val="00B30FAF"/>
    <w:rsid w:val="00B5761D"/>
    <w:rsid w:val="00BD45C0"/>
    <w:rsid w:val="00BE0096"/>
    <w:rsid w:val="00C5783F"/>
    <w:rsid w:val="00CB5E1A"/>
    <w:rsid w:val="00CC6685"/>
    <w:rsid w:val="00CE2BC4"/>
    <w:rsid w:val="00D10167"/>
    <w:rsid w:val="00E5110B"/>
    <w:rsid w:val="00E523EF"/>
    <w:rsid w:val="00ED68FF"/>
    <w:rsid w:val="00F41B2C"/>
    <w:rsid w:val="00F631EA"/>
    <w:rsid w:val="00FF3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9D614"/>
  <w15:docId w15:val="{C9C21158-26B2-485D-977B-2CB47765F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2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F3664"/>
    <w:rPr>
      <w:sz w:val="20"/>
      <w:szCs w:val="20"/>
    </w:rPr>
  </w:style>
  <w:style w:type="character" w:customStyle="1" w:styleId="FootnoteTextChar">
    <w:name w:val="Footnote Text Char"/>
    <w:basedOn w:val="DefaultParagraphFont"/>
    <w:link w:val="FootnoteText"/>
    <w:uiPriority w:val="99"/>
    <w:semiHidden/>
    <w:rsid w:val="00FF3664"/>
    <w:rPr>
      <w:sz w:val="20"/>
      <w:szCs w:val="20"/>
    </w:rPr>
  </w:style>
  <w:style w:type="character" w:styleId="FootnoteReference">
    <w:name w:val="footnote reference"/>
    <w:basedOn w:val="DefaultParagraphFont"/>
    <w:uiPriority w:val="99"/>
    <w:semiHidden/>
    <w:unhideWhenUsed/>
    <w:rsid w:val="00FF36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E90C3-772E-4E54-91E6-BAA462CF4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360</Words>
  <Characters>2052</Characters>
  <Application>Microsoft Office Word</Application>
  <DocSecurity>0</DocSecurity>
  <Lines>17</Lines>
  <Paragraphs>4</Paragraphs>
  <ScaleCrop>false</ScaleCrop>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Bill Donnino</cp:lastModifiedBy>
  <cp:revision>38</cp:revision>
  <dcterms:created xsi:type="dcterms:W3CDTF">2023-01-07T19:04:00Z</dcterms:created>
  <dcterms:modified xsi:type="dcterms:W3CDTF">2023-04-04T21:21:00Z</dcterms:modified>
</cp:coreProperties>
</file>