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3"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AGGRAVATED SEXUAL ABUSE IN THE THIRD DEGREE</w:t>
        <w:br/>
      </w:r>
      <w:r>
        <w:rPr>
          <w:rFonts w:ascii="Arial" w:hAnsi="Arial" w:eastAsia="Arial"/>
          <w:b w:val="true"/>
          <w:color w:val="000000"/>
          <w:spacing w:val="0"/>
          <w:w w:val="100"/>
          <w:sz w:val="28"/>
          <w:vertAlign w:val="baseline"/>
          <w:lang w:val="en-US"/>
        </w:rPr>
        <w:t xml:space="preserve">(Inserts a Foreign Object; Incapacity to Consent)</w:t>
        <w:br/>
      </w:r>
      <w:r>
        <w:rPr>
          <w:rFonts w:ascii="Arial" w:hAnsi="Arial" w:eastAsia="Arial"/>
          <w:b w:val="true"/>
          <w:color w:val="000000"/>
          <w:spacing w:val="0"/>
          <w:w w:val="100"/>
          <w:sz w:val="28"/>
          <w:vertAlign w:val="baseline"/>
          <w:lang w:val="en-US"/>
        </w:rPr>
        <w:t xml:space="preserve">Penal Law § 130.66 (2)</w:t>
        <w:br/>
      </w:r>
      <w:r>
        <w:rPr>
          <w:rFonts w:ascii="Arial" w:hAnsi="Arial" w:eastAsia="Arial"/>
          <w:b w:val="true"/>
          <w:color w:val="000000"/>
          <w:spacing w:val="0"/>
          <w:w w:val="100"/>
          <w:sz w:val="28"/>
          <w:vertAlign w:val="baseline"/>
          <w:lang w:val="en-US"/>
        </w:rPr>
        <w:t xml:space="preserve">(Committed on or after Nov. 1, 2003)</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17"/>
          <w:vertAlign w:val="baseline"/>
          <w:lang w:val="en-US"/>
        </w:rPr>
        <w:t xml:space="preserve">
</w:t>
      </w:r>
    </w:p>
    <w:p>
      <w:pPr>
        <w:pageBreakBefore w:val="false"/>
        <w:spacing w:before="647" w:after="0" w:line="326"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Aggravated Sexual Abuse in the Third Degree.</w:t>
      </w:r>
    </w:p>
    <w:p>
      <w:pPr>
        <w:pageBreakBefore w:val="false"/>
        <w:spacing w:before="327"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Aggravated Sexual Abuse in the Third Degree when he or she inserts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another person causing physical injury to such person and when the other person is incapable of consent by reason of being mentally disabled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mentally incapacitated].</w:t>
      </w:r>
    </w:p>
    <w:p>
      <w:pPr>
        <w:pageBreakBefore w:val="false"/>
        <w:spacing w:before="321"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Conduct performed for a valid medical purpose does not violate the provisions of this law. </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7"/>
          <w:vertAlign w:val="baseline"/>
          <w:lang w:val="en-US"/>
        </w:rPr>
        <w:t xml:space="preserve">
</w:t>
      </w:r>
    </w:p>
    <w:p>
      <w:pPr>
        <w:pageBreakBefore w:val="false"/>
        <w:spacing w:before="330"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32"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FOREIGN OBJECT means any instrument or article which, when inserted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is capable of causing physical injury.</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27" w:after="664"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 INJURY means impairment of physical condition or substantial pain.</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7"/>
          <w:vertAlign w:val="baseline"/>
          <w:lang w:val="en-US"/>
        </w:rPr>
        <w:t xml:space="preserve">
</w:t>
      </w:r>
    </w:p>
    <w:p>
      <w:pPr>
        <w:pageBreakBefore w:val="false"/>
        <w:spacing w:before="252" w:after="0" w:line="277" w:lineRule="exact"/>
        <w:ind w:right="0" w:left="0" w:firstLine="720"/>
        <w:jc w:val="both"/>
        <w:textAlignment w:val="baseline"/>
        <w:rPr>
          <w:rFonts w:ascii="Arial" w:hAnsi="Arial" w:eastAsia="Arial"/>
          <w:color w:val="000000"/>
          <w:spacing w:val="-2"/>
          <w:w w:val="100"/>
          <w:sz w:val="14"/>
          <w:vertAlign w:val="superscript"/>
          <w:lang w:val="en-US"/>
        </w:rPr>
      </w:pPr>
      <w:r>
        <w:pict>
          <v:line strokeweight="0.95pt" strokecolor="#000000" from="107.75pt,561.35pt" to="252.05pt,561.35pt" style="position:absolute;mso-position-horizontal-relative:page;mso-position-vertical-relative:page;">
            <v:stroke dashstyle="solid"/>
          </v:line>
        </w:pict>
      </w:r>
      <w:r>
        <w:rPr>
          <w:rFonts w:ascii="Arial" w:hAnsi="Arial" w:eastAsia="Arial"/>
          <w:color w:val="000000"/>
          <w:spacing w:val="-2"/>
          <w:w w:val="100"/>
          <w:sz w:val="14"/>
          <w:vertAlign w:val="superscript"/>
          <w:lang w:val="en-US"/>
        </w:rPr>
        <w:t xml:space="preserve">1</w:t>
      </w:r>
      <w:r>
        <w:rPr>
          <w:rFonts w:ascii="Arial" w:hAnsi="Arial" w:eastAsia="Arial"/>
          <w:color w:val="000000"/>
          <w:spacing w:val="-2"/>
          <w:w w:val="100"/>
          <w:sz w:val="24"/>
          <w:vertAlign w:val="baseline"/>
          <w:lang w:val="en-US"/>
        </w:rPr>
        <w:t xml:space="preserve"> The terminology “or anus” was added to the definition of this crime in 2010. Thus, the definition, with that term included, is applicable to a crime committed on or after January 7, 2010 pursuant to the laws of 2009, chapter 45. For crimes committed on or after November 1, 1988 and before January 7, 2010, omit that terminology.</w:t>
      </w:r>
    </w:p>
    <w:p>
      <w:pPr>
        <w:pageBreakBefore w:val="false"/>
        <w:spacing w:before="233" w:after="0" w:line="277"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w:t>
      </w:r>
      <w:r>
        <w:rPr>
          <w:rFonts w:ascii="Arial" w:hAnsi="Arial" w:eastAsia="Arial"/>
          <w:color w:val="000000"/>
          <w:spacing w:val="0"/>
          <w:w w:val="100"/>
          <w:sz w:val="24"/>
          <w:vertAlign w:val="baseline"/>
          <w:lang w:val="en-US"/>
        </w:rPr>
        <w:t xml:space="preserve"> Penal Law § 130.65-a (2).</w:t>
      </w:r>
    </w:p>
    <w:p>
      <w:pPr>
        <w:pageBreakBefore w:val="false"/>
        <w:spacing w:before="242" w:after="0" w:line="277"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color w:val="000000"/>
          <w:spacing w:val="0"/>
          <w:w w:val="100"/>
          <w:sz w:val="24"/>
          <w:vertAlign w:val="baseline"/>
          <w:lang w:val="en-US"/>
        </w:rPr>
        <w:t xml:space="preserve"> Penal Law § 130.00 (9).</w:t>
      </w:r>
    </w:p>
    <w:p>
      <w:pPr>
        <w:pageBreakBefore w:val="false"/>
        <w:spacing w:before="242" w:after="0" w:line="277" w:lineRule="exact"/>
        <w:ind w:right="0" w:left="720" w:firstLine="0"/>
        <w:jc w:val="left"/>
        <w:textAlignment w:val="baseline"/>
        <w:rPr>
          <w:rFonts w:ascii="Arial" w:hAnsi="Arial" w:eastAsia="Arial"/>
          <w:color w:val="000000"/>
          <w:spacing w:val="-2"/>
          <w:w w:val="100"/>
          <w:sz w:val="14"/>
          <w:vertAlign w:val="superscript"/>
          <w:lang w:val="en-US"/>
        </w:rPr>
      </w:pPr>
      <w:r>
        <w:rPr>
          <w:rFonts w:ascii="Arial" w:hAnsi="Arial" w:eastAsia="Arial"/>
          <w:color w:val="000000"/>
          <w:spacing w:val="-2"/>
          <w:w w:val="100"/>
          <w:sz w:val="14"/>
          <w:vertAlign w:val="superscript"/>
          <w:lang w:val="en-US"/>
        </w:rPr>
        <w:t xml:space="preserve">4</w:t>
      </w:r>
      <w:r>
        <w:rPr>
          <w:rFonts w:ascii="Arial" w:hAnsi="Arial" w:eastAsia="Arial"/>
          <w:color w:val="000000"/>
          <w:spacing w:val="-2"/>
          <w:w w:val="100"/>
          <w:sz w:val="24"/>
          <w:vertAlign w:val="baseline"/>
          <w:lang w:val="en-US"/>
        </w:rPr>
        <w:t xml:space="preserve"> Penal Law § 10.00 (9); </w:t>
      </w:r>
      <w:r>
        <w:rPr>
          <w:rFonts w:ascii="Arial" w:hAnsi="Arial" w:eastAsia="Arial"/>
          <w:i w:val="true"/>
          <w:color w:val="000000"/>
          <w:spacing w:val="-2"/>
          <w:w w:val="100"/>
          <w:sz w:val="24"/>
          <w:vertAlign w:val="baseline"/>
          <w:lang w:val="en-US"/>
        </w:rPr>
        <w:t xml:space="preserve">See People v Chiddick</w:t>
      </w:r>
      <w:r>
        <w:rPr>
          <w:rFonts w:ascii="Arial" w:hAnsi="Arial" w:eastAsia="Arial"/>
          <w:color w:val="000000"/>
          <w:spacing w:val="-2"/>
          <w:w w:val="100"/>
          <w:sz w:val="24"/>
          <w:vertAlign w:val="baseline"/>
          <w:lang w:val="en-US"/>
        </w:rPr>
        <w:t xml:space="preserve">, 8 NY3d 445 (2007).</w:t>
      </w:r>
    </w:p>
    <w:p>
      <w:pPr>
        <w:sectPr>
          <w:type w:val="nextPage"/>
          <w:pgSz w:w="12240" w:h="15840" w:orient="portrait"/>
          <w:pgMar w:bottom="1004" w:top="1440" w:right="2125" w:left="2155" w:header="720" w:footer="720"/>
          <w:titlePg w:val="false"/>
          <w:textDirection w:val="lrTb"/>
        </w:sectPr>
      </w:pPr>
    </w:p>
    <w:p>
      <w:pPr>
        <w:pageBreakBefore w:val="false"/>
        <w:spacing w:before="0" w:after="0" w:line="325" w:lineRule="exact"/>
        <w:ind w:right="0" w:left="0" w:firstLine="720"/>
        <w:jc w:val="both"/>
        <w:textAlignment w:val="baseline"/>
        <w:rPr>
          <w:rFonts w:ascii="Arial" w:hAnsi="Arial" w:eastAsia="Arial"/>
          <w:color w:val="000000"/>
          <w:spacing w:val="-5"/>
          <w:w w:val="100"/>
          <w:sz w:val="28"/>
          <w:vertAlign w:val="baseline"/>
          <w:lang w:val="en-US"/>
        </w:rPr>
      </w:pPr>
      <w:r>
        <w:rPr>
          <w:rFonts w:ascii="Arial" w:hAnsi="Arial" w:eastAsia="Arial"/>
          <w:color w:val="000000"/>
          <w:spacing w:val="-5"/>
          <w:w w:val="100"/>
          <w:sz w:val="28"/>
          <w:vertAlign w:val="baseline"/>
          <w:lang w:val="en-US"/>
        </w:rPr>
        <w:t xml:space="preserve">It is an element of this crime that the insertion of a foreign object take place without consent. Such insertion takes place without a person's consent when that person is deemed incapable of consent. Under our law, a person is deemed INCAPABLE OF CONSENTING to such insertion when he or she is:</w:t>
      </w:r>
    </w:p>
    <w:p>
      <w:pPr>
        <w:pageBreakBefore w:val="false"/>
        <w:spacing w:before="14" w:after="0" w:line="636"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w:t>
      </w:r>
      <w:r>
        <w:rPr>
          <w:rFonts w:ascii="Arial" w:hAnsi="Arial" w:eastAsia="Arial"/>
          <w:i w:val="true"/>
          <w:color w:val="000000"/>
          <w:spacing w:val="0"/>
          <w:w w:val="100"/>
          <w:sz w:val="28"/>
          <w:vertAlign w:val="baseline"/>
          <w:lang w:val="en-US"/>
        </w:rPr>
        <w:t xml:space="preserve">NOTE: Select appropriate alternative</w:t>
      </w:r>
      <w:r>
        <w:rPr>
          <w:rFonts w:ascii="Arial" w:hAnsi="Arial" w:eastAsia="Arial"/>
          <w:color w:val="000000"/>
          <w:spacing w:val="0"/>
          <w:w w:val="100"/>
          <w:sz w:val="28"/>
          <w:vertAlign w:val="baseline"/>
          <w:lang w:val="en-US"/>
        </w:rPr>
        <w:t xml:space="preserve">]:</w:t>
        <w:br/>
      </w:r>
      <w:r>
        <w:rPr>
          <w:rFonts w:ascii="Arial" w:hAnsi="Arial" w:eastAsia="Arial"/>
          <w:color w:val="000000"/>
          <w:spacing w:val="0"/>
          <w:w w:val="100"/>
          <w:sz w:val="28"/>
          <w:vertAlign w:val="baseline"/>
          <w:lang w:val="en-US"/>
        </w:rPr>
        <w:t xml:space="preserve">mentally disabled.</w:t>
      </w:r>
      <w:r>
        <w:rPr>
          <w:rFonts w:ascii="Arial" w:hAnsi="Arial" w:eastAsia="Arial"/>
          <w:color w:val="000000"/>
          <w:spacing w:val="0"/>
          <w:w w:val="100"/>
          <w:sz w:val="28"/>
          <w:vertAlign w:val="superscript"/>
          <w:lang w:val="en-US"/>
        </w:rPr>
        <w:t xml:space="preserve">5</w:t>
      </w:r>
      <w:r>
        <w:rPr>
          <w:rFonts w:ascii="Arial" w:hAnsi="Arial" w:eastAsia="Arial"/>
          <w:color w:val="000000"/>
          <w:spacing w:val="0"/>
          <w:w w:val="100"/>
          <w:sz w:val="17"/>
          <w:vertAlign w:val="baseline"/>
          <w:lang w:val="en-US"/>
        </w:rPr>
        <w:t xml:space="preserve">
</w:t>
      </w:r>
    </w:p>
    <w:p>
      <w:pPr>
        <w:pageBreakBefore w:val="false"/>
        <w:spacing w:before="320" w:after="0" w:line="326"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MENTALLY DISABLED means that a person suffers from a mental disease or defect which renders him or her incapable of appraising the nature of his or her conduct.</w:t>
      </w:r>
      <w:r>
        <w:rPr>
          <w:rFonts w:ascii="Arial" w:hAnsi="Arial" w:eastAsia="Arial"/>
          <w:color w:val="000000"/>
          <w:spacing w:val="0"/>
          <w:w w:val="100"/>
          <w:sz w:val="28"/>
          <w:vertAlign w:val="superscript"/>
          <w:lang w:val="en-US"/>
        </w:rPr>
        <w:t xml:space="preserve">6</w:t>
      </w:r>
      <w:r>
        <w:rPr>
          <w:rFonts w:ascii="Arial" w:hAnsi="Arial" w:eastAsia="Arial"/>
          <w:color w:val="000000"/>
          <w:spacing w:val="0"/>
          <w:w w:val="100"/>
          <w:sz w:val="17"/>
          <w:vertAlign w:val="baseline"/>
          <w:lang w:val="en-US"/>
        </w:rPr>
        <w:t xml:space="preserve">
</w:t>
      </w:r>
    </w:p>
    <w:p>
      <w:pPr>
        <w:pageBreakBefore w:val="false"/>
        <w:spacing w:before="325" w:after="0" w:line="326" w:lineRule="exact"/>
        <w:ind w:right="0" w:left="144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w:t>
      </w:r>
      <w:r>
        <w:rPr>
          <w:rFonts w:ascii="Arial" w:hAnsi="Arial" w:eastAsia="Arial"/>
          <w:i w:val="true"/>
          <w:color w:val="000000"/>
          <w:spacing w:val="0"/>
          <w:w w:val="100"/>
          <w:sz w:val="28"/>
          <w:vertAlign w:val="baseline"/>
          <w:lang w:val="en-US"/>
        </w:rPr>
        <w:t xml:space="preserve">Add if applicable:</w:t>
      </w:r>
    </w:p>
    <w:p>
      <w:pPr>
        <w:pageBreakBefore w:val="false"/>
        <w:spacing w:before="304" w:after="0" w:line="326" w:lineRule="exact"/>
        <w:ind w:right="0" w:left="1440" w:firstLine="720"/>
        <w:jc w:val="both"/>
        <w:textAlignment w:val="baseline"/>
        <w:rPr>
          <w:rFonts w:ascii="Arial" w:hAnsi="Arial" w:eastAsia="Arial"/>
          <w:color w:val="000000"/>
          <w:spacing w:val="-6"/>
          <w:w w:val="100"/>
          <w:sz w:val="28"/>
          <w:vertAlign w:val="baseline"/>
          <w:lang w:val="en-US"/>
        </w:rPr>
      </w:pPr>
      <w:r>
        <w:rPr>
          <w:rFonts w:ascii="Arial" w:hAnsi="Arial" w:eastAsia="Arial"/>
          <w:color w:val="000000"/>
          <w:spacing w:val="-6"/>
          <w:w w:val="100"/>
          <w:sz w:val="28"/>
          <w:vertAlign w:val="baseline"/>
          <w:lang w:val="en-US"/>
        </w:rPr>
        <w:t xml:space="preserve">It is a defense to this charge that the defendant was married to the victim.</w:t>
      </w:r>
      <w:r>
        <w:rPr>
          <w:rFonts w:ascii="Arial" w:hAnsi="Arial" w:eastAsia="Arial"/>
          <w:color w:val="000000"/>
          <w:spacing w:val="-6"/>
          <w:w w:val="100"/>
          <w:sz w:val="28"/>
          <w:vertAlign w:val="superscript"/>
          <w:lang w:val="en-US"/>
        </w:rPr>
        <w:t xml:space="preserve">7</w:t>
      </w:r>
      <w:r>
        <w:rPr>
          <w:rFonts w:ascii="Arial" w:hAnsi="Arial" w:eastAsia="Arial"/>
          <w:color w:val="000000"/>
          <w:spacing w:val="-6"/>
          <w:w w:val="100"/>
          <w:sz w:val="28"/>
          <w:vertAlign w:val="baseline"/>
          <w:lang w:val="en-US"/>
        </w:rPr>
        <w:t xml:space="preserve"> “Married” means the existence of the relationship between the defendant and the victim as spouses which was recognized by law at the time of the alleged commission of this crime.</w:t>
      </w:r>
      <w:r>
        <w:rPr>
          <w:rFonts w:ascii="Arial" w:hAnsi="Arial" w:eastAsia="Arial"/>
          <w:color w:val="000000"/>
          <w:spacing w:val="-6"/>
          <w:w w:val="100"/>
          <w:sz w:val="28"/>
          <w:vertAlign w:val="superscript"/>
          <w:lang w:val="en-US"/>
        </w:rPr>
        <w:t xml:space="preserve">8</w:t>
      </w:r>
      <w:r>
        <w:rPr>
          <w:rFonts w:ascii="Arial" w:hAnsi="Arial" w:eastAsia="Arial"/>
          <w:color w:val="000000"/>
          <w:spacing w:val="-6"/>
          <w:w w:val="100"/>
          <w:sz w:val="28"/>
          <w:vertAlign w:val="baseline"/>
          <w:lang w:val="en-US"/>
        </w:rPr>
        <w:t xml:space="preserve">]</w:t>
      </w:r>
    </w:p>
    <w:p>
      <w:pPr>
        <w:pageBreakBefore w:val="false"/>
        <w:spacing w:before="335" w:after="0" w:line="318" w:lineRule="exact"/>
        <w:ind w:right="0" w:left="0" w:firstLine="0"/>
        <w:jc w:val="left"/>
        <w:textAlignment w:val="baseline"/>
        <w:rPr>
          <w:rFonts w:ascii="Arial" w:hAnsi="Arial" w:eastAsia="Arial"/>
          <w:i w:val="true"/>
          <w:color w:val="000000"/>
          <w:spacing w:val="35"/>
          <w:w w:val="100"/>
          <w:sz w:val="28"/>
          <w:vertAlign w:val="baseline"/>
          <w:lang w:val="en-US"/>
        </w:rPr>
      </w:pPr>
      <w:r>
        <w:rPr>
          <w:rFonts w:ascii="Arial" w:hAnsi="Arial" w:eastAsia="Arial"/>
          <w:i w:val="true"/>
          <w:color w:val="000000"/>
          <w:spacing w:val="35"/>
          <w:w w:val="100"/>
          <w:sz w:val="28"/>
          <w:vertAlign w:val="baseline"/>
          <w:lang w:val="en-US"/>
        </w:rPr>
        <w:t xml:space="preserve">or</w:t>
      </w:r>
    </w:p>
    <w:p>
      <w:pPr>
        <w:pageBreakBefore w:val="false"/>
        <w:spacing w:before="318" w:after="0" w:line="326" w:lineRule="exact"/>
        <w:ind w:right="0" w:left="0" w:firstLine="0"/>
        <w:jc w:val="left"/>
        <w:textAlignment w:val="baseline"/>
        <w:rPr>
          <w:rFonts w:ascii="Arial" w:hAnsi="Arial" w:eastAsia="Arial"/>
          <w:color w:val="000000"/>
          <w:spacing w:val="-2"/>
          <w:w w:val="100"/>
          <w:sz w:val="28"/>
          <w:vertAlign w:val="baseline"/>
          <w:lang w:val="en-US"/>
        </w:rPr>
      </w:pPr>
      <w:r>
        <w:rPr>
          <w:rFonts w:ascii="Arial" w:hAnsi="Arial" w:eastAsia="Arial"/>
          <w:color w:val="000000"/>
          <w:spacing w:val="-2"/>
          <w:w w:val="100"/>
          <w:sz w:val="28"/>
          <w:vertAlign w:val="baseline"/>
          <w:lang w:val="en-US"/>
        </w:rPr>
        <w:t xml:space="preserve">mentally incapacitated.</w:t>
      </w:r>
      <w:r>
        <w:rPr>
          <w:rFonts w:ascii="Arial" w:hAnsi="Arial" w:eastAsia="Arial"/>
          <w:color w:val="000000"/>
          <w:spacing w:val="-2"/>
          <w:w w:val="100"/>
          <w:sz w:val="28"/>
          <w:vertAlign w:val="superscript"/>
          <w:lang w:val="en-US"/>
        </w:rPr>
        <w:t xml:space="preserve">9</w:t>
      </w:r>
      <w:r>
        <w:rPr>
          <w:rFonts w:ascii="Arial" w:hAnsi="Arial" w:eastAsia="Arial"/>
          <w:color w:val="000000"/>
          <w:spacing w:val="-2"/>
          <w:w w:val="100"/>
          <w:sz w:val="17"/>
          <w:vertAlign w:val="baseline"/>
          <w:lang w:val="en-US"/>
        </w:rPr>
        <w:t xml:space="preserve">
</w:t>
      </w:r>
    </w:p>
    <w:p>
      <w:pPr>
        <w:pageBreakBefore w:val="false"/>
        <w:spacing w:before="327" w:after="205" w:line="326" w:lineRule="exact"/>
        <w:ind w:right="0" w:left="720" w:firstLine="0"/>
        <w:jc w:val="both"/>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MENTALLY INCAPACITATED means that a person is rendered temporarily incapable of appraising or controlling</w:t>
      </w:r>
    </w:p>
    <w:p>
      <w:pPr>
        <w:pageBreakBefore w:val="false"/>
        <w:spacing w:before="258" w:after="0" w:line="276" w:lineRule="exact"/>
        <w:ind w:right="0" w:left="720" w:firstLine="0"/>
        <w:jc w:val="left"/>
        <w:textAlignment w:val="baseline"/>
        <w:rPr>
          <w:rFonts w:ascii="Arial" w:hAnsi="Arial" w:eastAsia="Arial"/>
          <w:color w:val="000000"/>
          <w:spacing w:val="0"/>
          <w:w w:val="100"/>
          <w:sz w:val="14"/>
          <w:vertAlign w:val="superscript"/>
          <w:lang w:val="en-US"/>
        </w:rPr>
      </w:pPr>
      <w:r>
        <w:pict>
          <v:line strokeweight="1.2pt" strokecolor="#000000" from="107.35pt,553.45pt" to="252.05pt,553.4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5</w:t>
      </w:r>
      <w:r>
        <w:rPr>
          <w:rFonts w:ascii="Arial" w:hAnsi="Arial" w:eastAsia="Arial"/>
          <w:color w:val="000000"/>
          <w:spacing w:val="0"/>
          <w:w w:val="100"/>
          <w:sz w:val="24"/>
          <w:vertAlign w:val="baseline"/>
          <w:lang w:val="en-US"/>
        </w:rPr>
        <w:t xml:space="preserve"> Penal Law § 130.05 (3) (b).</w:t>
      </w:r>
    </w:p>
    <w:p>
      <w:pPr>
        <w:pageBreakBefore w:val="false"/>
        <w:spacing w:before="238"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6</w:t>
      </w:r>
      <w:r>
        <w:rPr>
          <w:rFonts w:ascii="Arial" w:hAnsi="Arial" w:eastAsia="Arial"/>
          <w:color w:val="000000"/>
          <w:spacing w:val="0"/>
          <w:w w:val="100"/>
          <w:sz w:val="24"/>
          <w:vertAlign w:val="baseline"/>
          <w:lang w:val="en-US"/>
        </w:rPr>
        <w:t xml:space="preserve"> Penal Law § 130.00 (5).</w:t>
      </w:r>
    </w:p>
    <w:p>
      <w:pPr>
        <w:pageBreakBefore w:val="false"/>
        <w:spacing w:before="242"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7</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130.10 (4).</w:t>
      </w:r>
    </w:p>
    <w:p>
      <w:pPr>
        <w:pageBreakBefore w:val="false"/>
        <w:spacing w:before="242" w:after="0" w:line="280"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8</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130.00 (4). </w:t>
      </w:r>
      <w:r>
        <w:rPr>
          <w:rFonts w:ascii="Arial" w:hAnsi="Arial" w:eastAsia="Arial"/>
          <w:i w:val="true"/>
          <w:color w:val="000000"/>
          <w:spacing w:val="0"/>
          <w:w w:val="100"/>
          <w:sz w:val="24"/>
          <w:vertAlign w:val="baseline"/>
          <w:lang w:val="en-US"/>
        </w:rPr>
        <w:t xml:space="preserve">See </w:t>
      </w:r>
      <w:r>
        <w:rPr>
          <w:rFonts w:ascii="Arial" w:hAnsi="Arial" w:eastAsia="Arial"/>
          <w:color w:val="000000"/>
          <w:spacing w:val="0"/>
          <w:w w:val="100"/>
          <w:sz w:val="24"/>
          <w:vertAlign w:val="baseline"/>
          <w:lang w:val="en-US"/>
        </w:rPr>
        <w:t xml:space="preserve">Domestic Relations Law §§ 15 and 15-a.</w:t>
      </w:r>
    </w:p>
    <w:p>
      <w:pPr>
        <w:pageBreakBefore w:val="false"/>
        <w:spacing w:before="238" w:after="246"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9</w:t>
      </w:r>
      <w:r>
        <w:rPr>
          <w:rFonts w:ascii="Arial" w:hAnsi="Arial" w:eastAsia="Arial"/>
          <w:color w:val="000000"/>
          <w:spacing w:val="0"/>
          <w:w w:val="100"/>
          <w:sz w:val="24"/>
          <w:vertAlign w:val="baseline"/>
          <w:lang w:val="en-US"/>
        </w:rPr>
        <w:t xml:space="preserve"> Penal Law § 130.05 (3) (c).</w:t>
      </w:r>
    </w:p>
    <w:p>
      <w:pPr>
        <w:pageBreakBefore w:val="false"/>
        <w:spacing w:before="0" w:after="0" w:line="21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p>
      <w:pPr>
        <w:sectPr>
          <w:type w:val="nextPage"/>
          <w:pgSz w:w="12240" w:h="15840" w:orient="portrait"/>
          <w:pgMar w:bottom="1024" w:top="1440" w:right="2133" w:left="2147" w:header="720" w:footer="720"/>
          <w:titlePg w:val="false"/>
          <w:textDirection w:val="lrTb"/>
        </w:sectPr>
      </w:pPr>
    </w:p>
    <w:p>
      <w:pPr>
        <w:pageBreakBefore w:val="false"/>
        <w:spacing w:before="8" w:after="0" w:line="322" w:lineRule="exact"/>
        <w:ind w:right="72"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his or her conduct owing to the influence of a narcotic or intoxicating substance administered to him or her without his or her consent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to any other act committed upon him or her without his or her consent).</w:t>
      </w:r>
      <w:r>
        <w:rPr>
          <w:rFonts w:ascii="Arial" w:hAnsi="Arial" w:eastAsia="Arial"/>
          <w:color w:val="000000"/>
          <w:spacing w:val="0"/>
          <w:w w:val="100"/>
          <w:sz w:val="28"/>
          <w:vertAlign w:val="superscript"/>
          <w:lang w:val="en-US"/>
        </w:rPr>
        <w:t xml:space="preserve">10</w:t>
      </w:r>
      <w:r>
        <w:rPr>
          <w:rFonts w:ascii="Arial" w:hAnsi="Arial" w:eastAsia="Arial"/>
          <w:color w:val="000000"/>
          <w:spacing w:val="0"/>
          <w:w w:val="100"/>
          <w:sz w:val="17"/>
          <w:vertAlign w:val="baseline"/>
          <w:lang w:val="en-US"/>
        </w:rPr>
        <w:t xml:space="preserve">
</w:t>
      </w:r>
    </w:p>
    <w:p>
      <w:pPr>
        <w:pageBreakBefore w:val="false"/>
        <w:spacing w:before="330" w:after="0" w:line="323" w:lineRule="exact"/>
        <w:ind w:right="72"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Thus, the law deems insertion of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such a person to be without that person's consent, even if in fact that person did consent.</w:t>
      </w:r>
    </w:p>
    <w:p>
      <w:pPr>
        <w:pageBreakBefore w:val="false"/>
        <w:spacing w:before="323" w:after="0" w:line="325" w:lineRule="exact"/>
        <w:ind w:right="72"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of the evidence in the case, beyond a reasonable doubt, (both/each) of the following (two/three) elements:</w:t>
      </w:r>
    </w:p>
    <w:p>
      <w:pPr>
        <w:pageBreakBefore w:val="false"/>
        <w:numPr>
          <w:ilvl w:val="0"/>
          <w:numId w:val="1"/>
        </w:numPr>
        <w:tabs>
          <w:tab w:val="clear" w:pos="648"/>
          <w:tab w:val="left" w:pos="2160"/>
        </w:tabs>
        <w:spacing w:before="328" w:after="0" w:line="323" w:lineRule="exact"/>
        <w:ind w:right="72" w:left="2160" w:hanging="648"/>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County </w:t>
      </w:r>
      <w:r>
        <w:rPr>
          <w:rFonts w:ascii="Arial" w:hAnsi="Arial" w:eastAsia="Arial"/>
          <w:color w:val="000000"/>
          <w:spacing w:val="0"/>
          <w:w w:val="100"/>
          <w:sz w:val="28"/>
          <w:vertAlign w:val="baseline"/>
          <w:lang w:val="en-US"/>
        </w:rPr>
        <w:t xml:space="preserve"> ), the defendant (</w:t>
      </w:r>
      <w:r>
        <w:rPr>
          <w:rFonts w:ascii="Arial" w:hAnsi="Arial" w:eastAsia="Arial"/>
          <w:i w:val="true"/>
          <w:color w:val="000000"/>
          <w:spacing w:val="0"/>
          <w:w w:val="100"/>
          <w:sz w:val="28"/>
          <w:u w:val="single"/>
          <w:vertAlign w:val="baseline"/>
          <w:lang w:val="en-US"/>
        </w:rPr>
        <w:t xml:space="preserve">defendant’s name</w:t>
      </w:r>
      <w:r>
        <w:rPr>
          <w:rFonts w:ascii="Arial" w:hAnsi="Arial" w:eastAsia="Arial"/>
          <w:color w:val="000000"/>
          <w:spacing w:val="0"/>
          <w:w w:val="100"/>
          <w:sz w:val="28"/>
          <w:vertAlign w:val="baseline"/>
          <w:lang w:val="en-US"/>
        </w:rPr>
        <w:t xml:space="preserve">), without a valid medical purpose, inserted a foreign object into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w:t>
      </w:r>
      <w:r>
        <w:rPr>
          <w:rFonts w:ascii="Arial" w:hAnsi="Arial" w:eastAsia="Arial"/>
          <w:i w:val="true"/>
          <w:color w:val="000000"/>
          <w:spacing w:val="0"/>
          <w:w w:val="100"/>
          <w:sz w:val="28"/>
          <w:u w:val="single"/>
          <w:vertAlign w:val="baseline"/>
          <w:lang w:val="en-US"/>
        </w:rPr>
        <w:t xml:space="preserve">complainant’s</w:t>
      </w:r>
      <w:r>
        <w:rPr>
          <w:rFonts w:ascii="Arial" w:hAnsi="Arial" w:eastAsia="Arial"/>
          <w:i w:val="true"/>
          <w:color w:val="000000"/>
          <w:spacing w:val="0"/>
          <w:w w:val="100"/>
          <w:sz w:val="28"/>
          <w:vertAlign w:val="baseline"/>
          <w:lang w:val="en-US"/>
        </w:rPr>
        <w:t xml:space="preserve"> </w:t>
      </w:r>
      <w:r>
        <w:rPr>
          <w:rFonts w:ascii="Arial" w:hAnsi="Arial" w:eastAsia="Arial"/>
          <w:i w:val="true"/>
          <w:color w:val="000000"/>
          <w:spacing w:val="0"/>
          <w:w w:val="100"/>
          <w:sz w:val="28"/>
          <w:u w:val="single"/>
          <w:vertAlign w:val="baseline"/>
          <w:lang w:val="en-US"/>
        </w:rPr>
        <w:t xml:space="preserve">name</w:t>
      </w:r>
      <w:r>
        <w:rPr>
          <w:rFonts w:ascii="Arial" w:hAnsi="Arial" w:eastAsia="Arial"/>
          <w:color w:val="000000"/>
          <w:spacing w:val="0"/>
          <w:w w:val="100"/>
          <w:sz w:val="28"/>
          <w:vertAlign w:val="baseline"/>
          <w:lang w:val="en-US"/>
        </w:rPr>
        <w:t xml:space="preserve">), causing him/her physical injury; [and]</w:t>
      </w:r>
    </w:p>
    <w:p>
      <w:pPr>
        <w:pageBreakBefore w:val="false"/>
        <w:numPr>
          <w:ilvl w:val="0"/>
          <w:numId w:val="1"/>
        </w:numPr>
        <w:tabs>
          <w:tab w:val="clear" w:pos="648"/>
          <w:tab w:val="left" w:pos="2160"/>
        </w:tabs>
        <w:spacing w:before="332" w:after="0" w:line="321" w:lineRule="exact"/>
        <w:ind w:right="72" w:left="2160" w:hanging="648"/>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complainant’s name</w:t>
      </w:r>
      <w:r>
        <w:rPr>
          <w:rFonts w:ascii="Arial" w:hAnsi="Arial" w:eastAsia="Arial"/>
          <w:color w:val="000000"/>
          <w:spacing w:val="0"/>
          <w:w w:val="100"/>
          <w:sz w:val="28"/>
          <w:vertAlign w:val="baseline"/>
          <w:lang w:val="en-US"/>
        </w:rPr>
        <w:t xml:space="preserve">) was incapable of consent by reason of being mentally disabled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mentally incapacitated] [and]</w:t>
      </w:r>
    </w:p>
    <w:p>
      <w:pPr>
        <w:pageBreakBefore w:val="false"/>
        <w:spacing w:before="335" w:after="0" w:line="318" w:lineRule="exact"/>
        <w:ind w:right="72" w:left="1512" w:firstLine="0"/>
        <w:jc w:val="left"/>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w:t>
      </w:r>
      <w:r>
        <w:rPr>
          <w:rFonts w:ascii="Arial" w:hAnsi="Arial" w:eastAsia="Arial"/>
          <w:i w:val="true"/>
          <w:color w:val="000000"/>
          <w:spacing w:val="-3"/>
          <w:w w:val="100"/>
          <w:sz w:val="28"/>
          <w:vertAlign w:val="baseline"/>
          <w:lang w:val="en-US"/>
        </w:rPr>
        <w:t xml:space="preserve">Add if applicable</w:t>
      </w:r>
      <w:r>
        <w:rPr>
          <w:rFonts w:ascii="Arial" w:hAnsi="Arial" w:eastAsia="Arial"/>
          <w:color w:val="000000"/>
          <w:spacing w:val="-3"/>
          <w:w w:val="100"/>
          <w:sz w:val="28"/>
          <w:vertAlign w:val="baseline"/>
          <w:lang w:val="en-US"/>
        </w:rPr>
        <w:t xml:space="preserve">:</w:t>
      </w:r>
    </w:p>
    <w:p>
      <w:pPr>
        <w:pageBreakBefore w:val="false"/>
        <w:numPr>
          <w:ilvl w:val="0"/>
          <w:numId w:val="1"/>
        </w:numPr>
        <w:tabs>
          <w:tab w:val="clear" w:pos="648"/>
          <w:tab w:val="left" w:pos="2160"/>
        </w:tabs>
        <w:spacing w:before="6" w:after="0" w:line="321" w:lineRule="exact"/>
        <w:ind w:right="72" w:left="2160" w:hanging="648"/>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the defendant was not married to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u w:val="single"/>
          <w:vertAlign w:val="baseline"/>
          <w:lang w:val="en-US"/>
        </w:rPr>
        <w:t xml:space="preserve">)</w:t>
      </w:r>
      <w:r>
        <w:rPr>
          <w:rFonts w:ascii="Arial" w:hAnsi="Arial" w:eastAsia="Arial"/>
          <w:color w:val="000000"/>
          <w:spacing w:val="0"/>
          <w:w w:val="100"/>
          <w:sz w:val="28"/>
          <w:vertAlign w:val="baseline"/>
          <w:lang w:val="en-US"/>
        </w:rPr>
        <w:t xml:space="preserve">.]</w:t>
      </w:r>
      <w:r>
        <w:rPr>
          <w:rFonts w:ascii="Arial" w:hAnsi="Arial" w:eastAsia="Arial"/>
          <w:color w:val="000000"/>
          <w:spacing w:val="0"/>
          <w:w w:val="100"/>
          <w:sz w:val="28"/>
          <w:u w:val="single"/>
          <w:vertAlign w:val="baseline"/>
          <w:lang w:val="en-US"/>
        </w:rPr>
        <w:t xml:space="preserve">
</w:t>
      </w:r>
    </w:p>
    <w:p>
      <w:pPr>
        <w:pageBreakBefore w:val="false"/>
        <w:spacing w:before="324" w:after="0" w:line="324" w:lineRule="exact"/>
        <w:ind w:right="72"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 each] of those elements, you must find the defendant guilty of this crime.</w:t>
      </w:r>
    </w:p>
    <w:p>
      <w:pPr>
        <w:pageBreakBefore w:val="false"/>
        <w:spacing w:before="326" w:after="283" w:line="322" w:lineRule="exact"/>
        <w:ind w:right="72" w:left="0" w:firstLine="720"/>
        <w:jc w:val="both"/>
        <w:textAlignment w:val="baseline"/>
        <w:rPr>
          <w:rFonts w:ascii="Arial" w:hAnsi="Arial" w:eastAsia="Arial"/>
          <w:color w:val="000000"/>
          <w:spacing w:val="-4"/>
          <w:w w:val="100"/>
          <w:sz w:val="28"/>
          <w:vertAlign w:val="baseline"/>
          <w:lang w:val="en-US"/>
        </w:rPr>
      </w:pPr>
      <w:r>
        <w:rPr>
          <w:rFonts w:ascii="Arial" w:hAnsi="Arial" w:eastAsia="Arial"/>
          <w:color w:val="000000"/>
          <w:spacing w:val="-4"/>
          <w:w w:val="100"/>
          <w:sz w:val="28"/>
          <w:vertAlign w:val="baseline"/>
          <w:lang w:val="en-US"/>
        </w:rPr>
        <w:t xml:space="preserve">If you find the People have not proven beyond a reasonable doubt [either one / any one or more] of those elements, you must</w:t>
      </w:r>
    </w:p>
    <w:p>
      <w:pPr>
        <w:pageBreakBefore w:val="false"/>
        <w:spacing w:before="254" w:after="235" w:line="277" w:lineRule="exact"/>
        <w:ind w:right="72" w:left="720" w:firstLine="0"/>
        <w:jc w:val="left"/>
        <w:textAlignment w:val="baseline"/>
        <w:rPr>
          <w:rFonts w:ascii="Arial" w:hAnsi="Arial" w:eastAsia="Arial"/>
          <w:color w:val="000000"/>
          <w:spacing w:val="0"/>
          <w:w w:val="100"/>
          <w:sz w:val="14"/>
          <w:vertAlign w:val="superscript"/>
          <w:lang w:val="en-US"/>
        </w:rPr>
      </w:pPr>
      <w:r>
        <w:pict>
          <v:line strokeweight="1.2pt" strokecolor="#000000" from="107.45pt,670.8pt" to="252.05pt,670.8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10</w:t>
      </w:r>
      <w:r>
        <w:rPr>
          <w:rFonts w:ascii="Arial" w:hAnsi="Arial" w:eastAsia="Arial"/>
          <w:color w:val="000000"/>
          <w:spacing w:val="0"/>
          <w:w w:val="100"/>
          <w:sz w:val="24"/>
          <w:vertAlign w:val="baseline"/>
          <w:lang w:val="en-US"/>
        </w:rPr>
        <w:t xml:space="preserve"> Penal Law § 130.00 (6).</w:t>
      </w:r>
    </w:p>
    <w:p>
      <w:pPr>
        <w:pageBreakBefore w:val="false"/>
        <w:spacing w:before="1" w:after="0" w:line="229" w:lineRule="exact"/>
        <w:ind w:right="72"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p>
      <w:pPr>
        <w:sectPr>
          <w:type w:val="nextPage"/>
          <w:pgSz w:w="12240" w:h="15840" w:orient="portrait"/>
          <w:pgMar w:bottom="1024" w:top="1440" w:right="2087" w:left="2149" w:header="720" w:footer="720"/>
          <w:titlePg w:val="false"/>
          <w:textDirection w:val="lrTb"/>
        </w:sectPr>
      </w:pPr>
    </w:p>
    <w:p>
      <w:pPr>
        <w:pageBreakBefore w:val="false"/>
        <w:spacing w:before="8" w:after="0" w:line="323" w:lineRule="exact"/>
        <w:ind w:right="0" w:left="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find the defendant not guilty of this crime.</w:t>
      </w:r>
    </w:p>
    <w:p>
      <w:pPr>
        <w:pageBreakBefore w:val="false"/>
        <w:spacing w:before="326" w:after="0" w:line="321" w:lineRule="exact"/>
        <w:ind w:right="0" w:left="0" w:firstLine="720"/>
        <w:jc w:val="both"/>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If the affirmative defense set forth in Penal Law § 130.10 (1) applies, omit the final two paragraphs of the above charge, and substitute the applicable charge from the “additional charges” section at the end of this article.</w:t>
      </w:r>
    </w:p>
    <w:p>
      <w:pPr>
        <w:pageBreakBefore w:val="false"/>
        <w:spacing w:before="329" w:after="8854" w:line="321" w:lineRule="exact"/>
        <w:ind w:right="0" w:left="0" w:firstLine="720"/>
        <w:jc w:val="both"/>
        <w:textAlignment w:val="baseline"/>
        <w:rPr>
          <w:rFonts w:ascii="Arial" w:hAnsi="Arial" w:eastAsia="Arial"/>
          <w:i w:val="true"/>
          <w:color w:val="000000"/>
          <w:spacing w:val="-2"/>
          <w:w w:val="100"/>
          <w:sz w:val="28"/>
          <w:vertAlign w:val="baseline"/>
          <w:lang w:val="en-US"/>
        </w:rPr>
      </w:pPr>
      <w:r>
        <w:rPr>
          <w:rFonts w:ascii="Arial" w:hAnsi="Arial" w:eastAsia="Arial"/>
          <w:i w:val="true"/>
          <w:color w:val="000000"/>
          <w:spacing w:val="-2"/>
          <w:w w:val="100"/>
          <w:sz w:val="28"/>
          <w:vertAlign w:val="baseline"/>
          <w:lang w:val="en-US"/>
        </w:rPr>
        <w:t xml:space="preserve">NOTE: Where lack of consent results solely from incapacity to consent because of the alleged victim's mental disability or mental incapacity, a charge on corroboration is required, and that charge is in the “additional charges” section of this article. Penal Law § 130.16.</w:t>
      </w:r>
    </w:p>
    <w:p>
      <w:pPr>
        <w:spacing w:before="329" w:after="8854" w:line="321" w:lineRule="exact"/>
        <w:sectPr>
          <w:type w:val="nextPage"/>
          <w:pgSz w:w="12240" w:h="15840" w:orient="portrait"/>
          <w:pgMar w:bottom="1024" w:top="1440" w:right="2101" w:left="2135" w:header="720" w:footer="720"/>
          <w:titlePg w:val="false"/>
          <w:textDirection w:val="lrTb"/>
        </w:sectPr>
      </w:pPr>
    </w:p>
    <w:p>
      <w:pPr>
        <w:pageBreakBefore w:val="false"/>
        <w:spacing w:before="1"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w:t>
      </w:r>
    </w:p>
    <w:sectPr>
      <w:type w:val="continuous"/>
      <w:pgSz w:w="12240" w:h="15840" w:orient="portrait"/>
      <w:pgMar w:bottom="1024" w:top="1440" w:right="2120" w:left="211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648"/>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