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C759" w14:textId="580F433D" w:rsidR="00FA2C79" w:rsidRDefault="00F178D2">
      <w:pPr>
        <w:spacing w:line="322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PREDATORY SEXUAL ASSAULT </w:t>
      </w:r>
      <w:r>
        <w:rPr>
          <w:rFonts w:ascii="Arial" w:eastAsia="Arial" w:hAnsi="Arial"/>
          <w:b/>
          <w:color w:val="000000"/>
          <w:sz w:val="28"/>
        </w:rPr>
        <w:br/>
        <w:t xml:space="preserve">Penal Law § 130.95 (1) (b) 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A86C81">
        <w:rPr>
          <w:rFonts w:ascii="Arial" w:eastAsia="Arial" w:hAnsi="Arial"/>
          <w:b/>
          <w:color w:val="000000"/>
          <w:sz w:val="28"/>
        </w:rPr>
        <w:t xml:space="preserve">Sept </w:t>
      </w:r>
      <w:r w:rsidR="00B91D81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 xml:space="preserve">) </w:t>
      </w:r>
      <w:r>
        <w:rPr>
          <w:rFonts w:ascii="Arial" w:eastAsia="Arial" w:hAnsi="Arial"/>
          <w:b/>
          <w:color w:val="000000"/>
          <w:sz w:val="28"/>
        </w:rPr>
        <w:br/>
      </w:r>
    </w:p>
    <w:p w14:paraId="50B8C75A" w14:textId="77777777" w:rsidR="00FA2C79" w:rsidRDefault="00F178D2">
      <w:pPr>
        <w:spacing w:before="469" w:line="321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Predatory Sexual Assault.</w:t>
      </w:r>
    </w:p>
    <w:p w14:paraId="50B8C75B" w14:textId="77777777" w:rsidR="00FA2C79" w:rsidRDefault="00F178D2">
      <w:pPr>
        <w:spacing w:before="326" w:line="317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is guilty of Predatory Sexual Assault when he or she commits the crime of</w:t>
      </w:r>
    </w:p>
    <w:p w14:paraId="50B8C75C" w14:textId="77777777" w:rsidR="00FA2C79" w:rsidRDefault="00F178D2">
      <w:pPr>
        <w:spacing w:before="327" w:line="318" w:lineRule="exact"/>
        <w:ind w:left="720"/>
        <w:textAlignment w:val="baseline"/>
        <w:rPr>
          <w:rFonts w:ascii="Arial" w:eastAsia="Arial" w:hAnsi="Arial"/>
          <w:i/>
          <w:color w:val="000000"/>
          <w:sz w:val="28"/>
        </w:rPr>
      </w:pPr>
      <w:r>
        <w:rPr>
          <w:rFonts w:ascii="Arial" w:eastAsia="Arial" w:hAnsi="Arial"/>
          <w:i/>
          <w:color w:val="000000"/>
          <w:sz w:val="28"/>
        </w:rPr>
        <w:t>Select appropriate alternative:</w:t>
      </w:r>
    </w:p>
    <w:p w14:paraId="50B8C75D" w14:textId="42359E37" w:rsidR="00FA2C79" w:rsidRDefault="00F178D2">
      <w:pPr>
        <w:spacing w:before="4" w:line="321" w:lineRule="exact"/>
        <w:ind w:left="720"/>
        <w:textAlignment w:val="baseline"/>
        <w:rPr>
          <w:rFonts w:ascii="Arial" w:eastAsia="Arial" w:hAnsi="Arial"/>
          <w:color w:val="000000"/>
          <w:spacing w:val="-1"/>
          <w:sz w:val="28"/>
        </w:rPr>
      </w:pPr>
      <w:r>
        <w:rPr>
          <w:rFonts w:ascii="Arial" w:eastAsia="Arial" w:hAnsi="Arial"/>
          <w:color w:val="000000"/>
          <w:spacing w:val="-1"/>
          <w:sz w:val="28"/>
        </w:rPr>
        <w:t>Rape in the first degree</w:t>
      </w:r>
      <w:r w:rsidR="00526548">
        <w:rPr>
          <w:rStyle w:val="FootnoteReference"/>
          <w:rFonts w:ascii="Arial" w:eastAsia="Arial" w:hAnsi="Arial"/>
          <w:color w:val="000000"/>
          <w:spacing w:val="-1"/>
          <w:sz w:val="28"/>
        </w:rPr>
        <w:footnoteReference w:id="1"/>
      </w:r>
    </w:p>
    <w:p w14:paraId="50B8C75F" w14:textId="77777777" w:rsidR="00FA2C79" w:rsidRDefault="00F178D2">
      <w:pPr>
        <w:spacing w:line="319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Aggravated sexual abuse in the first degree</w:t>
      </w:r>
    </w:p>
    <w:p w14:paraId="50B8C760" w14:textId="77777777" w:rsidR="00FA2C79" w:rsidRDefault="00F178D2">
      <w:pPr>
        <w:spacing w:before="6" w:line="318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Course of sexual conduct against a child in the first</w:t>
      </w:r>
    </w:p>
    <w:p w14:paraId="50B8C761" w14:textId="77777777" w:rsidR="00FA2C79" w:rsidRDefault="00F178D2">
      <w:pPr>
        <w:spacing w:line="319" w:lineRule="exact"/>
        <w:ind w:left="720"/>
        <w:textAlignment w:val="baseline"/>
        <w:rPr>
          <w:rFonts w:ascii="Arial" w:eastAsia="Arial" w:hAnsi="Arial"/>
          <w:color w:val="000000"/>
          <w:spacing w:val="-5"/>
          <w:sz w:val="28"/>
        </w:rPr>
      </w:pPr>
      <w:r>
        <w:rPr>
          <w:rFonts w:ascii="Arial" w:eastAsia="Arial" w:hAnsi="Arial"/>
          <w:color w:val="000000"/>
          <w:spacing w:val="-5"/>
          <w:sz w:val="28"/>
        </w:rPr>
        <w:t>degree,</w:t>
      </w:r>
    </w:p>
    <w:p w14:paraId="50B8C762" w14:textId="77777777" w:rsidR="00FA2C79" w:rsidRDefault="00F178D2">
      <w:pPr>
        <w:spacing w:before="324" w:line="321" w:lineRule="exact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and when in the course of the commission of the crime or the immediate flight therefrom, he or she uses or threatens the immediate use of a dangerous instrument.</w:t>
      </w:r>
    </w:p>
    <w:p w14:paraId="50B8C763" w14:textId="77777777" w:rsidR="00FA2C79" w:rsidRDefault="00F178D2">
      <w:pPr>
        <w:spacing w:before="317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733CB03E" w14:textId="23DAD120" w:rsidR="00D63D90" w:rsidRDefault="00D63D90" w:rsidP="00D63D90">
      <w:pPr>
        <w:spacing w:before="326" w:line="320" w:lineRule="exact"/>
        <w:jc w:val="both"/>
        <w:textAlignment w:val="baseline"/>
        <w:rPr>
          <w:rFonts w:ascii="Arial" w:eastAsia="Arial" w:hAnsi="Arial"/>
          <w:color w:val="000000"/>
          <w:spacing w:val="-1"/>
          <w:sz w:val="17"/>
          <w:u w:val="single"/>
        </w:rPr>
      </w:pPr>
      <w:r>
        <w:rPr>
          <w:rFonts w:ascii="Arial" w:eastAsia="Arial" w:hAnsi="Arial"/>
          <w:color w:val="000000"/>
          <w:spacing w:val="-1"/>
          <w:sz w:val="28"/>
        </w:rPr>
        <w:tab/>
        <w:t>A person is guilty of (</w:t>
      </w:r>
      <w:r>
        <w:rPr>
          <w:rFonts w:ascii="Arial" w:eastAsia="Arial" w:hAnsi="Arial"/>
          <w:i/>
          <w:color w:val="000000"/>
          <w:spacing w:val="-1"/>
          <w:sz w:val="28"/>
          <w:u w:val="single"/>
        </w:rPr>
        <w:t>specify name and definition of underlying crime</w:t>
      </w:r>
      <w:r>
        <w:rPr>
          <w:rFonts w:ascii="Arial" w:eastAsia="Arial" w:hAnsi="Arial"/>
          <w:color w:val="000000"/>
          <w:spacing w:val="-1"/>
          <w:sz w:val="28"/>
        </w:rPr>
        <w:t>)</w:t>
      </w:r>
      <w:r w:rsidR="00526548">
        <w:rPr>
          <w:rFonts w:ascii="Arial" w:eastAsia="Arial" w:hAnsi="Arial"/>
          <w:color w:val="000000"/>
          <w:spacing w:val="-1"/>
          <w:sz w:val="28"/>
        </w:rPr>
        <w:t xml:space="preserve"> </w:t>
      </w:r>
    </w:p>
    <w:p w14:paraId="7A4239E6" w14:textId="77777777" w:rsidR="00D63D90" w:rsidRPr="00123D62" w:rsidRDefault="00D63D90" w:rsidP="00D63D90">
      <w:pPr>
        <w:spacing w:before="293" w:line="281" w:lineRule="exact"/>
        <w:ind w:left="720" w:right="720" w:firstLine="720"/>
        <w:jc w:val="both"/>
        <w:textAlignment w:val="baseline"/>
        <w:rPr>
          <w:rFonts w:ascii="Arial" w:eastAsia="Arial" w:hAnsi="Arial"/>
          <w:i/>
          <w:iCs/>
          <w:color w:val="000000"/>
          <w:sz w:val="17"/>
        </w:rPr>
      </w:pPr>
      <w:r w:rsidRPr="00123D62">
        <w:rPr>
          <w:rFonts w:ascii="Arial" w:eastAsia="Arial" w:hAnsi="Arial"/>
          <w:i/>
          <w:iCs/>
          <w:color w:val="000000"/>
          <w:sz w:val="24"/>
        </w:rPr>
        <w:t>Note: if the underlying crime is a separate count within the indictment, reference to the crime or count and its instruction is sufficient.</w:t>
      </w:r>
    </w:p>
    <w:p w14:paraId="427A3C79" w14:textId="7BD3506C" w:rsidR="00355F47" w:rsidRPr="000261D3" w:rsidRDefault="00F178D2" w:rsidP="00355F47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color w:val="00B050"/>
          <w:spacing w:val="3"/>
        </w:rPr>
      </w:pPr>
      <w:r>
        <w:rPr>
          <w:rFonts w:ascii="Arial" w:eastAsia="Arial" w:hAnsi="Arial"/>
          <w:color w:val="000000"/>
          <w:sz w:val="28"/>
        </w:rPr>
        <w:t>DANGEROUS INSTRUMENT means any instrument, article or substance (including a vehicle) which, under the</w:t>
      </w:r>
      <w:r w:rsidR="00AC47CC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 xml:space="preserve">circumstances in which it is used, attempted to be used, or </w:t>
      </w:r>
      <w:r>
        <w:rPr>
          <w:rFonts w:ascii="Arial" w:eastAsia="Arial" w:hAnsi="Arial"/>
          <w:color w:val="000000"/>
          <w:sz w:val="28"/>
        </w:rPr>
        <w:lastRenderedPageBreak/>
        <w:t>threatened to be used, is readily capable of causing death or other serious physical injury,</w:t>
      </w:r>
      <w:r w:rsidR="00E13203">
        <w:rPr>
          <w:rStyle w:val="FootnoteReference"/>
          <w:rFonts w:ascii="Arial" w:eastAsia="Arial" w:hAnsi="Arial"/>
          <w:color w:val="000000"/>
          <w:sz w:val="28"/>
        </w:rPr>
        <w:footnoteReference w:id="2"/>
      </w:r>
      <w:r>
        <w:rPr>
          <w:rFonts w:ascii="Arial" w:eastAsia="Arial" w:hAnsi="Arial"/>
          <w:color w:val="000000"/>
          <w:sz w:val="28"/>
        </w:rPr>
        <w:t xml:space="preserve"> that is, serious and protracted disfigurement, protracted impairment of health or protracted loss or impairment of the function of any bodily organ.</w:t>
      </w:r>
      <w:r w:rsidR="00F80213" w:rsidRPr="00F80213">
        <w:rPr>
          <w:rFonts w:ascii="Arial" w:eastAsia="Arial" w:hAnsi="Arial"/>
          <w:color w:val="000000"/>
          <w:sz w:val="14"/>
          <w:vertAlign w:val="superscript"/>
        </w:rPr>
        <w:t xml:space="preserve"> </w:t>
      </w:r>
    </w:p>
    <w:p w14:paraId="50B8C76A" w14:textId="29616016" w:rsidR="00FA2C79" w:rsidRDefault="00F178D2" w:rsidP="00F80213">
      <w:pPr>
        <w:spacing w:before="323" w:after="357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In order for you to find the defendant guilty of this crime, the People are required to prove, from all of the evidence in the case, beyond a reasonable doubt, both of the following two elements:</w:t>
      </w:r>
    </w:p>
    <w:p w14:paraId="50B8C76B" w14:textId="77777777" w:rsidR="00FA2C79" w:rsidRDefault="00F178D2">
      <w:pPr>
        <w:numPr>
          <w:ilvl w:val="0"/>
          <w:numId w:val="1"/>
        </w:numPr>
        <w:tabs>
          <w:tab w:val="clear" w:pos="720"/>
          <w:tab w:val="left" w:pos="1440"/>
        </w:tabs>
        <w:spacing w:before="331" w:line="321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on or about </w:t>
      </w:r>
      <w:r>
        <w:rPr>
          <w:rFonts w:ascii="Arial" w:eastAsia="Arial" w:hAnsi="Arial"/>
          <w:i/>
          <w:color w:val="000000"/>
          <w:sz w:val="28"/>
        </w:rPr>
        <w:t>(</w:t>
      </w:r>
      <w:r>
        <w:rPr>
          <w:rFonts w:ascii="Arial" w:eastAsia="Arial" w:hAnsi="Arial"/>
          <w:i/>
          <w:color w:val="000000"/>
          <w:sz w:val="28"/>
          <w:u w:val="single"/>
        </w:rPr>
        <w:t>date</w:t>
      </w:r>
      <w:r>
        <w:rPr>
          <w:rFonts w:ascii="Arial" w:eastAsia="Arial" w:hAnsi="Arial"/>
          <w:i/>
          <w:color w:val="000000"/>
          <w:sz w:val="28"/>
        </w:rPr>
        <w:t>)</w:t>
      </w:r>
      <w:r>
        <w:rPr>
          <w:rFonts w:ascii="Arial" w:eastAsia="Arial" w:hAnsi="Arial"/>
          <w:color w:val="000000"/>
          <w:sz w:val="28"/>
        </w:rPr>
        <w:t xml:space="preserve">, in the County of </w:t>
      </w:r>
      <w:r>
        <w:rPr>
          <w:rFonts w:ascii="Arial" w:eastAsia="Arial" w:hAnsi="Arial"/>
          <w:i/>
          <w:color w:val="000000"/>
          <w:sz w:val="28"/>
        </w:rPr>
        <w:t>(</w:t>
      </w:r>
      <w:r>
        <w:rPr>
          <w:rFonts w:ascii="Arial" w:eastAsia="Arial" w:hAnsi="Arial"/>
          <w:i/>
          <w:color w:val="000000"/>
          <w:sz w:val="28"/>
          <w:u w:val="single"/>
        </w:rPr>
        <w:t>County</w:t>
      </w:r>
      <w:r>
        <w:rPr>
          <w:rFonts w:ascii="Arial" w:eastAsia="Arial" w:hAnsi="Arial"/>
          <w:i/>
          <w:color w:val="000000"/>
          <w:sz w:val="28"/>
        </w:rPr>
        <w:t>)</w:t>
      </w:r>
      <w:r>
        <w:rPr>
          <w:rFonts w:ascii="Arial" w:eastAsia="Arial" w:hAnsi="Arial"/>
          <w:color w:val="000000"/>
          <w:sz w:val="28"/>
        </w:rPr>
        <w:t xml:space="preserve">, the defendant, </w:t>
      </w:r>
      <w:r>
        <w:rPr>
          <w:rFonts w:ascii="Arial" w:eastAsia="Arial" w:hAnsi="Arial"/>
          <w:i/>
          <w:color w:val="000000"/>
          <w:sz w:val="28"/>
        </w:rPr>
        <w:t>(</w:t>
      </w:r>
      <w:r>
        <w:rPr>
          <w:rFonts w:ascii="Arial" w:eastAsia="Arial" w:hAnsi="Arial"/>
          <w:i/>
          <w:color w:val="000000"/>
          <w:sz w:val="28"/>
          <w:u w:val="single"/>
        </w:rPr>
        <w:t>defendant's name</w:t>
      </w:r>
      <w:r>
        <w:rPr>
          <w:rFonts w:ascii="Arial" w:eastAsia="Arial" w:hAnsi="Arial"/>
          <w:i/>
          <w:color w:val="000000"/>
          <w:sz w:val="28"/>
        </w:rPr>
        <w:t>)</w:t>
      </w:r>
      <w:r>
        <w:rPr>
          <w:rFonts w:ascii="Arial" w:eastAsia="Arial" w:hAnsi="Arial"/>
          <w:color w:val="000000"/>
          <w:sz w:val="28"/>
        </w:rPr>
        <w:t xml:space="preserve">, committed </w:t>
      </w:r>
      <w:r>
        <w:rPr>
          <w:rFonts w:ascii="Arial" w:eastAsia="Arial" w:hAnsi="Arial"/>
          <w:i/>
          <w:color w:val="000000"/>
          <w:sz w:val="28"/>
        </w:rPr>
        <w:t>(</w:t>
      </w:r>
      <w:r>
        <w:rPr>
          <w:rFonts w:ascii="Arial" w:eastAsia="Arial" w:hAnsi="Arial"/>
          <w:i/>
          <w:color w:val="000000"/>
          <w:sz w:val="28"/>
          <w:u w:val="single"/>
        </w:rPr>
        <w:t>name of underlying crime</w:t>
      </w:r>
      <w:r>
        <w:rPr>
          <w:rFonts w:ascii="Arial" w:eastAsia="Arial" w:hAnsi="Arial"/>
          <w:i/>
          <w:color w:val="000000"/>
          <w:sz w:val="28"/>
        </w:rPr>
        <w:t>)</w:t>
      </w:r>
      <w:r>
        <w:rPr>
          <w:rFonts w:ascii="Arial" w:eastAsia="Arial" w:hAnsi="Arial"/>
          <w:color w:val="000000"/>
          <w:sz w:val="28"/>
        </w:rPr>
        <w:t>; and</w:t>
      </w:r>
    </w:p>
    <w:p w14:paraId="50B8C76C" w14:textId="4704F8C5" w:rsidR="00FA2C79" w:rsidRDefault="00F178D2">
      <w:pPr>
        <w:numPr>
          <w:ilvl w:val="0"/>
          <w:numId w:val="1"/>
        </w:numPr>
        <w:tabs>
          <w:tab w:val="clear" w:pos="720"/>
          <w:tab w:val="left" w:pos="1440"/>
        </w:tabs>
        <w:spacing w:before="319" w:line="320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That, in the course of and in furtherance of the commission of such </w:t>
      </w:r>
      <w:r>
        <w:rPr>
          <w:rFonts w:ascii="Arial" w:eastAsia="Arial" w:hAnsi="Arial"/>
          <w:i/>
          <w:color w:val="000000"/>
          <w:sz w:val="28"/>
        </w:rPr>
        <w:t>(</w:t>
      </w:r>
      <w:r>
        <w:rPr>
          <w:rFonts w:ascii="Arial" w:eastAsia="Arial" w:hAnsi="Arial"/>
          <w:i/>
          <w:color w:val="000000"/>
          <w:sz w:val="28"/>
          <w:u w:val="single"/>
        </w:rPr>
        <w:t>name of underlying crime</w:t>
      </w:r>
      <w:r>
        <w:rPr>
          <w:rFonts w:ascii="Arial" w:eastAsia="Arial" w:hAnsi="Arial"/>
          <w:i/>
          <w:color w:val="000000"/>
          <w:sz w:val="28"/>
        </w:rPr>
        <w:t xml:space="preserve">) </w:t>
      </w:r>
      <w:r>
        <w:rPr>
          <w:rFonts w:ascii="Arial" w:eastAsia="Arial" w:hAnsi="Arial"/>
          <w:color w:val="000000"/>
          <w:sz w:val="28"/>
        </w:rPr>
        <w:t>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>the immediate flight therefrom], the defendant possessed</w:t>
      </w:r>
      <w:r w:rsidR="00A81903">
        <w:rPr>
          <w:rStyle w:val="FootnoteReference"/>
          <w:rFonts w:ascii="Arial" w:eastAsia="Arial" w:hAnsi="Arial"/>
          <w:color w:val="000000"/>
          <w:sz w:val="28"/>
        </w:rPr>
        <w:footnoteReference w:id="3"/>
      </w:r>
      <w:r>
        <w:rPr>
          <w:rFonts w:ascii="Arial" w:eastAsia="Arial" w:hAnsi="Arial"/>
          <w:color w:val="000000"/>
          <w:sz w:val="28"/>
        </w:rPr>
        <w:t xml:space="preserve"> a dangerous instrument and used or threatened the immediate use of that dangerous instrument.</w:t>
      </w:r>
    </w:p>
    <w:p w14:paraId="50B8C76D" w14:textId="77777777" w:rsidR="00FA2C79" w:rsidRDefault="00F178D2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50B8C76E" w14:textId="77777777" w:rsidR="00FA2C79" w:rsidRDefault="00F178D2">
      <w:pPr>
        <w:spacing w:before="324" w:after="2791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not proven beyond a reasonable doubt either one or both of those elements, you must find the defendant not guilty of this crime.</w:t>
      </w:r>
    </w:p>
    <w:sectPr w:rsidR="00FA2C79">
      <w:pgSz w:w="12240" w:h="15840"/>
      <w:pgMar w:top="1440" w:right="2126" w:bottom="1024" w:left="21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435CA" w14:textId="77777777" w:rsidR="005B1E81" w:rsidRDefault="005B1E81" w:rsidP="00E13203">
      <w:r>
        <w:separator/>
      </w:r>
    </w:p>
  </w:endnote>
  <w:endnote w:type="continuationSeparator" w:id="0">
    <w:p w14:paraId="64C73F5F" w14:textId="77777777" w:rsidR="005B1E81" w:rsidRDefault="005B1E81" w:rsidP="00E1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5DA18" w14:textId="77777777" w:rsidR="005B1E81" w:rsidRDefault="005B1E81" w:rsidP="00E13203">
      <w:r>
        <w:separator/>
      </w:r>
    </w:p>
  </w:footnote>
  <w:footnote w:type="continuationSeparator" w:id="0">
    <w:p w14:paraId="30A8F7F2" w14:textId="77777777" w:rsidR="005B1E81" w:rsidRDefault="005B1E81" w:rsidP="00E13203">
      <w:r>
        <w:continuationSeparator/>
      </w:r>
    </w:p>
  </w:footnote>
  <w:footnote w:id="1">
    <w:p w14:paraId="07D71FDF" w14:textId="0731FA5A" w:rsidR="006149A5" w:rsidRPr="000261D3" w:rsidRDefault="00526548" w:rsidP="006149A5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color w:val="00B050"/>
          <w:spacing w:val="3"/>
        </w:rPr>
      </w:pPr>
      <w:r>
        <w:rPr>
          <w:rStyle w:val="FootnoteReference"/>
        </w:rPr>
        <w:footnoteRef/>
      </w:r>
      <w:r>
        <w:t xml:space="preserve"> </w:t>
      </w:r>
      <w:r w:rsidR="006149A5" w:rsidRPr="000261D3">
        <w:rPr>
          <w:rFonts w:ascii="Arial" w:eastAsia="Arial" w:hAnsi="Arial"/>
          <w:color w:val="00B050"/>
          <w:spacing w:val="3"/>
        </w:rPr>
        <w:t>Although Rape include</w:t>
      </w:r>
      <w:r w:rsidR="006149A5">
        <w:rPr>
          <w:rFonts w:ascii="Arial" w:eastAsia="Arial" w:hAnsi="Arial"/>
          <w:color w:val="00B050"/>
          <w:spacing w:val="3"/>
        </w:rPr>
        <w:t>s</w:t>
      </w:r>
      <w:r w:rsidR="006149A5" w:rsidRPr="000261D3">
        <w:rPr>
          <w:rFonts w:ascii="Arial" w:eastAsia="Arial" w:hAnsi="Arial"/>
          <w:color w:val="00B050"/>
          <w:spacing w:val="3"/>
        </w:rPr>
        <w:t xml:space="preserve"> oral and anal sexual contact, the L. 2024, c. 23 add</w:t>
      </w:r>
      <w:r w:rsidR="006149A5">
        <w:rPr>
          <w:rFonts w:ascii="Arial" w:eastAsia="Arial" w:hAnsi="Arial"/>
          <w:color w:val="00B050"/>
          <w:spacing w:val="3"/>
        </w:rPr>
        <w:t>ed</w:t>
      </w:r>
      <w:r w:rsidR="006149A5" w:rsidRPr="000261D3">
        <w:rPr>
          <w:rFonts w:ascii="Arial" w:eastAsia="Arial" w:hAnsi="Arial"/>
          <w:color w:val="00B050"/>
          <w:spacing w:val="3"/>
        </w:rPr>
        <w:t xml:space="preserve">: </w:t>
      </w:r>
      <w:r w:rsidR="006149A5">
        <w:rPr>
          <w:rFonts w:ascii="Arial" w:eastAsia="Arial" w:hAnsi="Arial"/>
          <w:color w:val="00B050"/>
          <w:spacing w:val="3"/>
        </w:rPr>
        <w:t>“</w:t>
      </w:r>
      <w:r w:rsidR="006149A5" w:rsidRPr="000261D3">
        <w:rPr>
          <w:rFonts w:ascii="Arial" w:eastAsia="Arial" w:hAnsi="Arial"/>
          <w:color w:val="00B050"/>
          <w:spacing w:val="3"/>
        </w:rPr>
        <w:t>a crime formerly defined in section 130.50 of this title.</w:t>
      </w:r>
      <w:r w:rsidR="006149A5">
        <w:rPr>
          <w:rFonts w:ascii="Arial" w:eastAsia="Arial" w:hAnsi="Arial"/>
          <w:color w:val="00B050"/>
          <w:spacing w:val="3"/>
        </w:rPr>
        <w:t xml:space="preserve">”  Penal Law former § 130.50 defined “criminal sexual act in the first degree.”  Reference to the repealed law should be unnecessary </w:t>
      </w:r>
      <w:r w:rsidR="009B6E87">
        <w:rPr>
          <w:rFonts w:ascii="Arial" w:eastAsia="Arial" w:hAnsi="Arial"/>
          <w:color w:val="00B050"/>
          <w:spacing w:val="3"/>
        </w:rPr>
        <w:t xml:space="preserve">when Rape is charged </w:t>
      </w:r>
      <w:r w:rsidR="006149A5">
        <w:rPr>
          <w:rFonts w:ascii="Arial" w:eastAsia="Arial" w:hAnsi="Arial"/>
          <w:color w:val="00B050"/>
          <w:spacing w:val="3"/>
        </w:rPr>
        <w:t>and is therefore not included in the text.</w:t>
      </w:r>
    </w:p>
    <w:p w14:paraId="1E03870A" w14:textId="62EE6E73" w:rsidR="00526548" w:rsidRDefault="00526548">
      <w:pPr>
        <w:pStyle w:val="FootnoteText"/>
        <w:rPr>
          <w:rFonts w:ascii="Arial" w:eastAsia="Arial" w:hAnsi="Arial"/>
          <w:color w:val="00B050"/>
          <w:spacing w:val="3"/>
          <w:sz w:val="22"/>
          <w:szCs w:val="22"/>
        </w:rPr>
      </w:pPr>
    </w:p>
    <w:p w14:paraId="496BFC9F" w14:textId="77777777" w:rsidR="00CE78C3" w:rsidRPr="00355F47" w:rsidRDefault="00CE78C3">
      <w:pPr>
        <w:pStyle w:val="FootnoteText"/>
        <w:rPr>
          <w:sz w:val="22"/>
          <w:szCs w:val="22"/>
        </w:rPr>
      </w:pPr>
    </w:p>
  </w:footnote>
  <w:footnote w:id="2">
    <w:p w14:paraId="7D09EE71" w14:textId="192807CC" w:rsidR="00E13203" w:rsidRDefault="00E13203">
      <w:pPr>
        <w:pStyle w:val="FootnoteText"/>
      </w:pPr>
      <w:r w:rsidRPr="00355F47">
        <w:rPr>
          <w:rStyle w:val="FootnoteReference"/>
          <w:rFonts w:ascii="Arial" w:hAnsi="Arial" w:cs="Arial"/>
          <w:sz w:val="22"/>
          <w:szCs w:val="22"/>
        </w:rPr>
        <w:footnoteRef/>
      </w:r>
      <w:r w:rsidRPr="00355F47">
        <w:rPr>
          <w:rFonts w:ascii="Arial" w:hAnsi="Arial" w:cs="Arial"/>
          <w:sz w:val="22"/>
          <w:szCs w:val="22"/>
        </w:rPr>
        <w:t xml:space="preserve"> </w:t>
      </w:r>
      <w:r w:rsidRPr="00355F47">
        <w:rPr>
          <w:rFonts w:ascii="Arial" w:eastAsia="Arial" w:hAnsi="Arial" w:cs="Arial"/>
          <w:color w:val="000000"/>
          <w:sz w:val="22"/>
          <w:szCs w:val="22"/>
        </w:rPr>
        <w:t>Penal Law § 10.00 (13).</w:t>
      </w:r>
    </w:p>
  </w:footnote>
  <w:footnote w:id="3">
    <w:p w14:paraId="0584CC4B" w14:textId="78C34CEC" w:rsidR="00A81903" w:rsidRPr="00B91D81" w:rsidRDefault="00A81903" w:rsidP="00A81903">
      <w:pPr>
        <w:spacing w:before="87" w:line="277" w:lineRule="exact"/>
        <w:ind w:firstLine="720"/>
        <w:jc w:val="both"/>
        <w:textAlignment w:val="baseline"/>
        <w:rPr>
          <w:rFonts w:ascii="Arial" w:eastAsia="Arial" w:hAnsi="Arial" w:cs="Arial"/>
          <w:color w:val="00B050"/>
          <w:spacing w:val="-3"/>
          <w:vertAlign w:val="superscript"/>
        </w:rPr>
      </w:pPr>
      <w:r w:rsidRPr="00B91D81">
        <w:rPr>
          <w:rStyle w:val="FootnoteReference"/>
          <w:rFonts w:ascii="Arial" w:hAnsi="Arial" w:cs="Arial"/>
          <w:color w:val="00B050"/>
        </w:rPr>
        <w:footnoteRef/>
      </w:r>
      <w:r w:rsidRPr="00B91D81">
        <w:rPr>
          <w:rFonts w:ascii="Arial" w:hAnsi="Arial" w:cs="Arial"/>
          <w:color w:val="00B050"/>
        </w:rPr>
        <w:t xml:space="preserve"> </w:t>
      </w:r>
      <w:r w:rsidR="00585A61" w:rsidRPr="00B91D81">
        <w:rPr>
          <w:rFonts w:ascii="Arial" w:hAnsi="Arial" w:cs="Arial"/>
          <w:color w:val="00B050"/>
        </w:rPr>
        <w:t xml:space="preserve">Albeit not </w:t>
      </w:r>
      <w:r w:rsidR="00C86BFA" w:rsidRPr="00B91D81">
        <w:rPr>
          <w:rFonts w:ascii="Arial" w:hAnsi="Arial" w:cs="Arial"/>
          <w:color w:val="00B050"/>
        </w:rPr>
        <w:t xml:space="preserve">in the definition of the crime, “possession” is a required element. </w:t>
      </w:r>
      <w:r w:rsidRPr="00B91D81">
        <w:rPr>
          <w:rFonts w:ascii="Arial" w:eastAsia="Arial" w:hAnsi="Arial" w:cs="Arial"/>
          <w:i/>
          <w:color w:val="00B050"/>
          <w:spacing w:val="-3"/>
        </w:rPr>
        <w:t>See People v Grant</w:t>
      </w:r>
      <w:r w:rsidRPr="00B91D81">
        <w:rPr>
          <w:rFonts w:ascii="Arial" w:eastAsia="Arial" w:hAnsi="Arial" w:cs="Arial"/>
          <w:color w:val="00B050"/>
          <w:spacing w:val="-3"/>
        </w:rPr>
        <w:t xml:space="preserve">, 17 NY3d 613, 617-618 (2011); </w:t>
      </w:r>
      <w:r w:rsidRPr="00B91D81">
        <w:rPr>
          <w:rFonts w:ascii="Arial" w:eastAsia="Arial" w:hAnsi="Arial" w:cs="Arial"/>
          <w:i/>
          <w:color w:val="00B050"/>
          <w:spacing w:val="-3"/>
        </w:rPr>
        <w:t>People v Ford</w:t>
      </w:r>
      <w:r w:rsidRPr="00B91D81">
        <w:rPr>
          <w:rFonts w:ascii="Arial" w:eastAsia="Arial" w:hAnsi="Arial" w:cs="Arial"/>
          <w:color w:val="00B050"/>
          <w:spacing w:val="-3"/>
        </w:rPr>
        <w:t xml:space="preserve">, 11 NY3d 875, 878 (2008); </w:t>
      </w:r>
      <w:r w:rsidRPr="00B91D81">
        <w:rPr>
          <w:rFonts w:ascii="Arial" w:eastAsia="Arial" w:hAnsi="Arial" w:cs="Arial"/>
          <w:i/>
          <w:color w:val="00B050"/>
          <w:spacing w:val="-3"/>
        </w:rPr>
        <w:t>People v Pena</w:t>
      </w:r>
      <w:r w:rsidRPr="00B91D81">
        <w:rPr>
          <w:rFonts w:ascii="Arial" w:eastAsia="Arial" w:hAnsi="Arial" w:cs="Arial"/>
          <w:color w:val="00B050"/>
          <w:spacing w:val="-3"/>
        </w:rPr>
        <w:t>, 50 NY2d 400, 407 (1980).</w:t>
      </w:r>
    </w:p>
    <w:p w14:paraId="24C8850B" w14:textId="529DFA24" w:rsidR="00A81903" w:rsidRDefault="00A8190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31A93"/>
    <w:multiLevelType w:val="multilevel"/>
    <w:tmpl w:val="6428D2C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356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C79"/>
    <w:rsid w:val="0005592C"/>
    <w:rsid w:val="001D5270"/>
    <w:rsid w:val="003242B0"/>
    <w:rsid w:val="00355F47"/>
    <w:rsid w:val="004815F9"/>
    <w:rsid w:val="00526548"/>
    <w:rsid w:val="00585A61"/>
    <w:rsid w:val="005B1E81"/>
    <w:rsid w:val="006149A5"/>
    <w:rsid w:val="00872A15"/>
    <w:rsid w:val="009B6E87"/>
    <w:rsid w:val="00A81903"/>
    <w:rsid w:val="00A86C81"/>
    <w:rsid w:val="00AC47CC"/>
    <w:rsid w:val="00B91D81"/>
    <w:rsid w:val="00C86BFA"/>
    <w:rsid w:val="00CE78C3"/>
    <w:rsid w:val="00D63D90"/>
    <w:rsid w:val="00E13203"/>
    <w:rsid w:val="00F178D2"/>
    <w:rsid w:val="00F80213"/>
    <w:rsid w:val="00FA2C79"/>
    <w:rsid w:val="00FB2A55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8C759"/>
  <w15:docId w15:val="{6734852E-53A1-4C95-9FF4-87C5AB7D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32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32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BA0C-8E18-4C9F-B101-D34B28FD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23</cp:revision>
  <cp:lastPrinted>2023-07-23T19:11:00Z</cp:lastPrinted>
  <dcterms:created xsi:type="dcterms:W3CDTF">2023-07-23T18:58:00Z</dcterms:created>
  <dcterms:modified xsi:type="dcterms:W3CDTF">2024-04-03T18:23:00Z</dcterms:modified>
</cp:coreProperties>
</file>