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4DA8" w14:textId="77777777" w:rsidR="00C46F85" w:rsidRDefault="00C46F85">
      <w:pPr>
        <w:kinsoku w:val="0"/>
        <w:overflowPunct w:val="0"/>
        <w:autoSpaceDE/>
        <w:autoSpaceDN/>
        <w:adjustRightInd/>
        <w:spacing w:before="7" w:line="331" w:lineRule="exact"/>
        <w:jc w:val="center"/>
        <w:textAlignment w:val="baseline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PREDATORY SEXUAL ASSAULT</w:t>
      </w:r>
      <w:r>
        <w:rPr>
          <w:rFonts w:ascii="Arial" w:hAnsi="Arial"/>
          <w:b/>
          <w:sz w:val="28"/>
        </w:rPr>
        <w:br/>
        <w:t>Penal Law § 130.95(3)</w:t>
      </w:r>
    </w:p>
    <w:p w14:paraId="62A2F4A1" w14:textId="289E2B2B" w:rsidR="00C46F85" w:rsidRDefault="00C46F85">
      <w:pPr>
        <w:kinsoku w:val="0"/>
        <w:overflowPunct w:val="0"/>
        <w:autoSpaceDE/>
        <w:autoSpaceDN/>
        <w:adjustRightInd/>
        <w:spacing w:line="331" w:lineRule="exact"/>
        <w:jc w:val="center"/>
        <w:textAlignment w:val="baseline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(Committed on or after </w:t>
      </w:r>
      <w:r w:rsidR="009A76FF">
        <w:rPr>
          <w:rFonts w:ascii="Arial" w:hAnsi="Arial"/>
          <w:b/>
          <w:sz w:val="28"/>
        </w:rPr>
        <w:t>Sept 1</w:t>
      </w:r>
      <w:r>
        <w:rPr>
          <w:rFonts w:ascii="Arial" w:hAnsi="Arial"/>
          <w:b/>
          <w:sz w:val="28"/>
        </w:rPr>
        <w:t>, 2</w:t>
      </w:r>
      <w:r w:rsidR="00193F07">
        <w:rPr>
          <w:rFonts w:ascii="Arial" w:hAnsi="Arial"/>
          <w:b/>
          <w:sz w:val="28"/>
        </w:rPr>
        <w:t>024</w:t>
      </w:r>
      <w:r>
        <w:rPr>
          <w:rFonts w:ascii="Arial" w:hAnsi="Arial"/>
          <w:b/>
          <w:sz w:val="28"/>
        </w:rPr>
        <w:t>)</w:t>
      </w:r>
    </w:p>
    <w:p w14:paraId="208FB316" w14:textId="77777777" w:rsidR="00C46F85" w:rsidRDefault="00C46F85">
      <w:pPr>
        <w:kinsoku w:val="0"/>
        <w:overflowPunct w:val="0"/>
        <w:autoSpaceDE/>
        <w:autoSpaceDN/>
        <w:adjustRightInd/>
        <w:spacing w:before="323" w:line="324" w:lineRule="exact"/>
        <w:jc w:val="center"/>
        <w:textAlignment w:val="baseline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(</w:t>
      </w:r>
      <w:r>
        <w:rPr>
          <w:rFonts w:ascii="Arial" w:hAnsi="Arial"/>
          <w:i/>
          <w:sz w:val="28"/>
          <w:u w:val="single"/>
        </w:rPr>
        <w:t>specify</w:t>
      </w:r>
      <w:r>
        <w:rPr>
          <w:rFonts w:ascii="Arial" w:hAnsi="Arial"/>
          <w:sz w:val="28"/>
        </w:rPr>
        <w:t>) count is Predatory Sexual Assault.</w:t>
      </w:r>
    </w:p>
    <w:p w14:paraId="43D60A5D" w14:textId="77777777" w:rsidR="00C46F85" w:rsidRDefault="00C46F85">
      <w:pPr>
        <w:kinsoku w:val="0"/>
        <w:overflowPunct w:val="0"/>
        <w:autoSpaceDE/>
        <w:autoSpaceDN/>
        <w:adjustRightInd/>
        <w:spacing w:before="321" w:line="327" w:lineRule="exact"/>
        <w:ind w:firstLine="720"/>
        <w:jc w:val="both"/>
        <w:textAlignment w:val="baseline"/>
        <w:rPr>
          <w:rFonts w:ascii="Arial" w:hAnsi="Arial"/>
          <w:sz w:val="28"/>
        </w:rPr>
      </w:pPr>
      <w:r>
        <w:rPr>
          <w:rFonts w:ascii="Arial" w:hAnsi="Arial"/>
          <w:sz w:val="28"/>
        </w:rPr>
        <w:t>Under our law, a person is guilty of Predatory Sexual Assault when he or she commits the crime of</w:t>
      </w:r>
    </w:p>
    <w:p w14:paraId="0558748B" w14:textId="77777777" w:rsidR="00C46F85" w:rsidRDefault="00C46F85">
      <w:pPr>
        <w:kinsoku w:val="0"/>
        <w:overflowPunct w:val="0"/>
        <w:autoSpaceDE/>
        <w:autoSpaceDN/>
        <w:adjustRightInd/>
        <w:spacing w:before="329" w:line="316" w:lineRule="exact"/>
        <w:textAlignment w:val="baseline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Select appropriate alternative:</w:t>
      </w:r>
    </w:p>
    <w:p w14:paraId="2D7BBB69" w14:textId="3171EC8F" w:rsidR="00C46F85" w:rsidRDefault="00C46F85">
      <w:pPr>
        <w:kinsoku w:val="0"/>
        <w:overflowPunct w:val="0"/>
        <w:autoSpaceDE/>
        <w:autoSpaceDN/>
        <w:adjustRightInd/>
        <w:spacing w:line="319" w:lineRule="exact"/>
        <w:ind w:left="720"/>
        <w:textAlignment w:val="baseline"/>
        <w:rPr>
          <w:rFonts w:ascii="Arial" w:hAnsi="Arial"/>
          <w:sz w:val="28"/>
        </w:rPr>
      </w:pPr>
      <w:r>
        <w:rPr>
          <w:rFonts w:ascii="Arial" w:hAnsi="Arial"/>
          <w:sz w:val="28"/>
        </w:rPr>
        <w:t>Rape in the first degree</w:t>
      </w:r>
      <w:r w:rsidR="004C694E">
        <w:rPr>
          <w:rStyle w:val="FootnoteReference"/>
          <w:rFonts w:ascii="Arial" w:hAnsi="Arial"/>
          <w:sz w:val="28"/>
        </w:rPr>
        <w:footnoteReference w:id="1"/>
      </w:r>
    </w:p>
    <w:p w14:paraId="42559DDB" w14:textId="77777777" w:rsidR="00C46F85" w:rsidRDefault="00C46F85">
      <w:pPr>
        <w:kinsoku w:val="0"/>
        <w:overflowPunct w:val="0"/>
        <w:autoSpaceDE/>
        <w:autoSpaceDN/>
        <w:adjustRightInd/>
        <w:spacing w:before="7" w:line="319" w:lineRule="exact"/>
        <w:ind w:left="720"/>
        <w:textAlignment w:val="baseline"/>
        <w:rPr>
          <w:rFonts w:ascii="Arial" w:hAnsi="Arial"/>
          <w:sz w:val="28"/>
        </w:rPr>
      </w:pPr>
      <w:r>
        <w:rPr>
          <w:rFonts w:ascii="Arial" w:hAnsi="Arial"/>
          <w:sz w:val="28"/>
        </w:rPr>
        <w:t>Aggravated sexual abuse in the first degree</w:t>
      </w:r>
    </w:p>
    <w:p w14:paraId="6995A94E" w14:textId="77777777" w:rsidR="00C46F85" w:rsidRDefault="00C46F85">
      <w:pPr>
        <w:kinsoku w:val="0"/>
        <w:overflowPunct w:val="0"/>
        <w:autoSpaceDE/>
        <w:autoSpaceDN/>
        <w:adjustRightInd/>
        <w:spacing w:before="3" w:line="319" w:lineRule="exact"/>
        <w:ind w:left="720"/>
        <w:textAlignment w:val="baseline"/>
        <w:rPr>
          <w:rFonts w:ascii="Arial" w:hAnsi="Arial"/>
          <w:spacing w:val="-4"/>
          <w:sz w:val="28"/>
        </w:rPr>
      </w:pPr>
      <w:r>
        <w:rPr>
          <w:rFonts w:ascii="Arial" w:hAnsi="Arial"/>
          <w:spacing w:val="-4"/>
          <w:sz w:val="28"/>
        </w:rPr>
        <w:t>Course of sexual conduct against a child in the first degree,</w:t>
      </w:r>
    </w:p>
    <w:p w14:paraId="2D8D11DE" w14:textId="77777777" w:rsidR="00C46F85" w:rsidRDefault="00C46F85">
      <w:pPr>
        <w:kinsoku w:val="0"/>
        <w:overflowPunct w:val="0"/>
        <w:autoSpaceDE/>
        <w:autoSpaceDN/>
        <w:adjustRightInd/>
        <w:spacing w:before="318" w:line="324" w:lineRule="exact"/>
        <w:jc w:val="both"/>
        <w:textAlignment w:val="baseline"/>
        <w:rPr>
          <w:rFonts w:ascii="Arial" w:hAnsi="Arial"/>
          <w:spacing w:val="-3"/>
          <w:sz w:val="17"/>
          <w:u w:val="single"/>
        </w:rPr>
      </w:pPr>
      <w:r>
        <w:rPr>
          <w:rFonts w:ascii="Arial" w:hAnsi="Arial"/>
          <w:spacing w:val="-3"/>
          <w:sz w:val="28"/>
        </w:rPr>
        <w:t>[and when he or she has previously been subjected to a conviction for (</w:t>
      </w:r>
      <w:r>
        <w:rPr>
          <w:rFonts w:ascii="Arial" w:hAnsi="Arial"/>
          <w:i/>
          <w:spacing w:val="-3"/>
          <w:sz w:val="28"/>
          <w:u w:val="single"/>
        </w:rPr>
        <w:t>specify: a felony defined in Penal Law article 130,  incest as defined in Penal Law section 255.25 or use of a child in a sexual performance as defined in Penal Law section 263.05</w:t>
      </w:r>
      <w:r>
        <w:rPr>
          <w:rFonts w:ascii="Arial" w:hAnsi="Arial"/>
          <w:spacing w:val="-3"/>
          <w:sz w:val="28"/>
        </w:rPr>
        <w:t>).]</w:t>
      </w:r>
      <w:r>
        <w:rPr>
          <w:rFonts w:ascii="Arial" w:hAnsi="Arial"/>
          <w:spacing w:val="-3"/>
          <w:sz w:val="28"/>
          <w:vertAlign w:val="superscript"/>
        </w:rPr>
        <w:t>1</w:t>
      </w:r>
    </w:p>
    <w:p w14:paraId="17F34725" w14:textId="77777777" w:rsidR="00C46F85" w:rsidRDefault="00C46F85">
      <w:pPr>
        <w:kinsoku w:val="0"/>
        <w:overflowPunct w:val="0"/>
        <w:autoSpaceDE/>
        <w:autoSpaceDN/>
        <w:adjustRightInd/>
        <w:spacing w:before="324" w:line="327" w:lineRule="exact"/>
        <w:ind w:firstLine="720"/>
        <w:jc w:val="both"/>
        <w:textAlignment w:val="baseline"/>
        <w:rPr>
          <w:rFonts w:ascii="Arial" w:hAnsi="Arial"/>
          <w:sz w:val="28"/>
        </w:rPr>
      </w:pPr>
      <w:r>
        <w:rPr>
          <w:rFonts w:ascii="Arial" w:hAnsi="Arial"/>
          <w:sz w:val="28"/>
        </w:rPr>
        <w:t>The following term used in that definition have a special meaning:</w:t>
      </w:r>
    </w:p>
    <w:p w14:paraId="6AFD1395" w14:textId="77777777" w:rsidR="00C46F85" w:rsidRDefault="00C46F85">
      <w:pPr>
        <w:kinsoku w:val="0"/>
        <w:overflowPunct w:val="0"/>
        <w:autoSpaceDE/>
        <w:autoSpaceDN/>
        <w:adjustRightInd/>
        <w:spacing w:before="318" w:line="324" w:lineRule="exact"/>
        <w:ind w:firstLine="720"/>
        <w:jc w:val="both"/>
        <w:textAlignment w:val="baseline"/>
        <w:rPr>
          <w:rFonts w:ascii="Arial" w:hAnsi="Arial"/>
          <w:sz w:val="17"/>
        </w:rPr>
      </w:pPr>
      <w:r>
        <w:rPr>
          <w:rFonts w:ascii="Arial" w:hAnsi="Arial"/>
          <w:sz w:val="28"/>
        </w:rPr>
        <w:t>[</w:t>
      </w:r>
      <w:r>
        <w:rPr>
          <w:rFonts w:ascii="Arial" w:hAnsi="Arial"/>
          <w:i/>
          <w:sz w:val="28"/>
          <w:u w:val="single"/>
        </w:rPr>
        <w:t>Specify name and definition of underlying crime(s</w:t>
      </w:r>
      <w:r>
        <w:rPr>
          <w:rFonts w:ascii="Arial" w:hAnsi="Arial"/>
          <w:sz w:val="28"/>
        </w:rPr>
        <w:t>) and any necessary definitions of terms used in that definition]</w:t>
      </w:r>
      <w:r>
        <w:rPr>
          <w:rFonts w:ascii="Arial" w:hAnsi="Arial"/>
          <w:sz w:val="28"/>
          <w:vertAlign w:val="superscript"/>
        </w:rPr>
        <w:t>2</w:t>
      </w:r>
    </w:p>
    <w:p w14:paraId="09E51D5D" w14:textId="77777777" w:rsidR="00C46F85" w:rsidRDefault="00C46F85">
      <w:pPr>
        <w:kinsoku w:val="0"/>
        <w:overflowPunct w:val="0"/>
        <w:autoSpaceDE/>
        <w:autoSpaceDN/>
        <w:adjustRightInd/>
        <w:spacing w:before="654" w:line="324" w:lineRule="exact"/>
        <w:ind w:firstLine="720"/>
        <w:jc w:val="both"/>
        <w:textAlignment w:val="baseline"/>
        <w:rPr>
          <w:rFonts w:ascii="Arial" w:hAnsi="Arial"/>
          <w:sz w:val="28"/>
        </w:rPr>
      </w:pPr>
      <w:r>
        <w:rPr>
          <w:rFonts w:ascii="Arial" w:hAnsi="Arial"/>
          <w:sz w:val="28"/>
        </w:rPr>
        <w:t>In order for you to find the defendant guilty of this crime, the People are required to prove, from all the evidence in the case, beyond a reasonable doubt, the following element(s):</w:t>
      </w:r>
    </w:p>
    <w:p w14:paraId="35A4315B" w14:textId="02651D8B" w:rsidR="00C46F85" w:rsidRDefault="00C46F85">
      <w:pPr>
        <w:kinsoku w:val="0"/>
        <w:overflowPunct w:val="0"/>
        <w:autoSpaceDE/>
        <w:autoSpaceDN/>
        <w:adjustRightInd/>
        <w:spacing w:before="329" w:line="319" w:lineRule="exact"/>
        <w:jc w:val="center"/>
        <w:textAlignment w:val="baseline"/>
        <w:rPr>
          <w:rFonts w:ascii="Arial" w:hAnsi="Arial"/>
          <w:spacing w:val="21"/>
          <w:sz w:val="28"/>
        </w:rPr>
      </w:pPr>
      <w:r>
        <w:rPr>
          <w:rFonts w:ascii="Arial" w:hAnsi="Arial"/>
          <w:spacing w:val="21"/>
          <w:sz w:val="28"/>
        </w:rPr>
        <w:t xml:space="preserve">[1] That on or about </w:t>
      </w:r>
      <w:r>
        <w:rPr>
          <w:rFonts w:ascii="Arial" w:hAnsi="Arial"/>
          <w:i/>
          <w:spacing w:val="21"/>
          <w:sz w:val="23"/>
          <w:u w:val="single"/>
        </w:rPr>
        <w:t xml:space="preserve"> (date)</w:t>
      </w:r>
      <w:r>
        <w:rPr>
          <w:rFonts w:ascii="Arial" w:hAnsi="Arial"/>
          <w:spacing w:val="21"/>
          <w:sz w:val="28"/>
        </w:rPr>
        <w:t xml:space="preserve"> , in the County of</w:t>
      </w:r>
    </w:p>
    <w:p w14:paraId="77064F37" w14:textId="5B5FB9BB" w:rsidR="00C46F85" w:rsidRDefault="00C46F85">
      <w:pPr>
        <w:tabs>
          <w:tab w:val="left" w:pos="4896"/>
        </w:tabs>
        <w:kinsoku w:val="0"/>
        <w:overflowPunct w:val="0"/>
        <w:autoSpaceDE/>
        <w:autoSpaceDN/>
        <w:adjustRightInd/>
        <w:spacing w:before="2" w:after="431" w:line="319" w:lineRule="exact"/>
        <w:ind w:left="1440"/>
        <w:textAlignment w:val="baseline"/>
        <w:rPr>
          <w:rFonts w:ascii="Arial" w:hAnsi="Arial"/>
          <w:spacing w:val="1"/>
          <w:sz w:val="28"/>
        </w:rPr>
      </w:pPr>
      <w:r>
        <w:rPr>
          <w:rFonts w:ascii="Arial" w:hAnsi="Arial"/>
          <w:i/>
          <w:spacing w:val="1"/>
          <w:sz w:val="23"/>
          <w:u w:val="single"/>
        </w:rPr>
        <w:t>(County),</w:t>
      </w:r>
      <w:r>
        <w:rPr>
          <w:rFonts w:ascii="Arial" w:hAnsi="Arial"/>
          <w:spacing w:val="1"/>
          <w:sz w:val="28"/>
        </w:rPr>
        <w:t xml:space="preserve"> the defendant, </w:t>
      </w:r>
      <w:r>
        <w:rPr>
          <w:rFonts w:ascii="Arial" w:hAnsi="Arial"/>
          <w:i/>
          <w:spacing w:val="1"/>
          <w:sz w:val="23"/>
          <w:u w:val="single"/>
        </w:rPr>
        <w:t xml:space="preserve">defendant's name) </w:t>
      </w:r>
      <w:r>
        <w:rPr>
          <w:rFonts w:ascii="Arial" w:hAnsi="Arial"/>
          <w:spacing w:val="1"/>
          <w:sz w:val="28"/>
        </w:rPr>
        <w:t xml:space="preserve"> ,</w:t>
      </w:r>
    </w:p>
    <w:p w14:paraId="4819E50B" w14:textId="320824F3" w:rsidR="00C46F85" w:rsidRDefault="00664341">
      <w:pPr>
        <w:kinsoku w:val="0"/>
        <w:overflowPunct w:val="0"/>
        <w:autoSpaceDE/>
        <w:autoSpaceDN/>
        <w:adjustRightInd/>
        <w:spacing w:before="292" w:line="279" w:lineRule="exact"/>
        <w:ind w:firstLine="720"/>
        <w:jc w:val="both"/>
        <w:textAlignment w:val="baseline"/>
        <w:rPr>
          <w:rFonts w:ascii="Arial" w:hAnsi="Arial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106BAFC" wp14:editId="5E710CE2">
                <wp:simplePos x="0" y="0"/>
                <wp:positionH relativeFrom="page">
                  <wp:posOffset>1368425</wp:posOffset>
                </wp:positionH>
                <wp:positionV relativeFrom="page">
                  <wp:posOffset>7778750</wp:posOffset>
                </wp:positionV>
                <wp:extent cx="1832610" cy="0"/>
                <wp:effectExtent l="0" t="0" r="0" b="0"/>
                <wp:wrapSquare wrapText="bothSides"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D50C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07.75pt,612.5pt" to="252.05pt,6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" o:allowincell="f" strokeweight=".95pt">
                <w10:wrap type="square" anchorx="page" anchory="page"/>
              </v:line>
            </w:pict>
          </mc:Fallback>
        </mc:AlternateContent>
      </w:r>
      <w:r w:rsidR="00C46F85">
        <w:rPr>
          <w:rFonts w:ascii="Arial" w:hAnsi="Arial"/>
          <w:spacing w:val="-2"/>
          <w:sz w:val="17"/>
        </w:rPr>
        <w:t xml:space="preserve">1 </w:t>
      </w:r>
      <w:r w:rsidR="00C46F85">
        <w:rPr>
          <w:rFonts w:ascii="Arial" w:hAnsi="Arial"/>
          <w:spacing w:val="-2"/>
          <w:sz w:val="24"/>
        </w:rPr>
        <w:t xml:space="preserve">The prior conviction must be charged by a separate information and the defendant must be given an opportunity to admit the prior conviction and </w:t>
      </w:r>
      <w:r w:rsidR="00C46F85">
        <w:rPr>
          <w:rFonts w:ascii="Arial" w:hAnsi="Arial"/>
          <w:spacing w:val="-2"/>
          <w:sz w:val="24"/>
        </w:rPr>
        <w:lastRenderedPageBreak/>
        <w:t xml:space="preserve">thereby preclude having this element charged to the jury pursuant to CPL 200.60. </w:t>
      </w:r>
      <w:r w:rsidR="00C46F85">
        <w:rPr>
          <w:rFonts w:ascii="Arial" w:hAnsi="Arial"/>
          <w:i/>
          <w:spacing w:val="-2"/>
          <w:sz w:val="24"/>
        </w:rPr>
        <w:t xml:space="preserve">See People v. Cooper, </w:t>
      </w:r>
      <w:r w:rsidR="00C46F85">
        <w:rPr>
          <w:rFonts w:ascii="Arial" w:hAnsi="Arial"/>
          <w:spacing w:val="-2"/>
          <w:sz w:val="24"/>
        </w:rPr>
        <w:t>78 NY2d 476 (1991).</w:t>
      </w:r>
    </w:p>
    <w:p w14:paraId="2474BEC6" w14:textId="77777777" w:rsidR="00C46F85" w:rsidRDefault="00C46F85">
      <w:pPr>
        <w:kinsoku w:val="0"/>
        <w:overflowPunct w:val="0"/>
        <w:autoSpaceDE/>
        <w:autoSpaceDN/>
        <w:adjustRightInd/>
        <w:spacing w:before="281" w:line="279" w:lineRule="exact"/>
        <w:ind w:firstLine="720"/>
        <w:jc w:val="both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17"/>
        </w:rPr>
        <w:t xml:space="preserve">2 </w:t>
      </w:r>
      <w:r>
        <w:rPr>
          <w:rFonts w:ascii="Arial" w:hAnsi="Arial"/>
          <w:sz w:val="24"/>
        </w:rPr>
        <w:t>With respect to defining the underlying crime, if the underlying crime is a separate count within the indictment, incorporation by reference to that crime or count is sufficient.</w:t>
      </w:r>
    </w:p>
    <w:p w14:paraId="2DC77B5C" w14:textId="77777777" w:rsidR="00C46F85" w:rsidRDefault="00C46F85">
      <w:pPr>
        <w:widowControl/>
        <w:rPr>
          <w:sz w:val="24"/>
        </w:rPr>
        <w:sectPr w:rsidR="00C46F85" w:rsidSect="007C41C8">
          <w:pgSz w:w="12240" w:h="15840"/>
          <w:pgMar w:top="1080" w:right="2145" w:bottom="664" w:left="2155" w:header="720" w:footer="720" w:gutter="0"/>
          <w:cols w:space="720"/>
          <w:noEndnote/>
        </w:sectPr>
      </w:pPr>
    </w:p>
    <w:p w14:paraId="58D4528F" w14:textId="77777777" w:rsidR="00C46F85" w:rsidRDefault="00C46F85">
      <w:pPr>
        <w:kinsoku w:val="0"/>
        <w:overflowPunct w:val="0"/>
        <w:autoSpaceDE/>
        <w:autoSpaceDN/>
        <w:adjustRightInd/>
        <w:spacing w:before="2" w:line="323" w:lineRule="exact"/>
        <w:ind w:left="1440"/>
        <w:textAlignment w:val="baseline"/>
        <w:rPr>
          <w:rFonts w:ascii="Arial" w:hAnsi="Arial"/>
          <w:i/>
          <w:sz w:val="23"/>
          <w:u w:val="single"/>
        </w:rPr>
      </w:pPr>
      <w:r>
        <w:rPr>
          <w:rFonts w:ascii="Arial" w:hAnsi="Arial"/>
          <w:sz w:val="28"/>
        </w:rPr>
        <w:lastRenderedPageBreak/>
        <w:t xml:space="preserve">committed </w:t>
      </w:r>
      <w:r>
        <w:rPr>
          <w:rFonts w:ascii="Arial" w:hAnsi="Arial"/>
          <w:i/>
          <w:sz w:val="23"/>
          <w:u w:val="single"/>
        </w:rPr>
        <w:t xml:space="preserve">(name of underlying crime, e.g., rape in the </w:t>
      </w:r>
    </w:p>
    <w:p w14:paraId="6470257E" w14:textId="77777777" w:rsidR="00C46F85" w:rsidRDefault="00C46F85">
      <w:pPr>
        <w:kinsoku w:val="0"/>
        <w:overflowPunct w:val="0"/>
        <w:autoSpaceDE/>
        <w:autoSpaceDN/>
        <w:adjustRightInd/>
        <w:spacing w:before="35" w:line="283" w:lineRule="exact"/>
        <w:ind w:left="1440" w:right="720"/>
        <w:jc w:val="both"/>
        <w:textAlignment w:val="baseline"/>
        <w:rPr>
          <w:rFonts w:ascii="Arial" w:hAnsi="Arial"/>
          <w:i/>
          <w:spacing w:val="-3"/>
          <w:sz w:val="24"/>
        </w:rPr>
      </w:pPr>
      <w:r>
        <w:rPr>
          <w:rFonts w:ascii="Arial" w:hAnsi="Arial"/>
          <w:i/>
          <w:spacing w:val="-3"/>
          <w:sz w:val="23"/>
          <w:u w:val="single"/>
        </w:rPr>
        <w:t>first degree)</w:t>
      </w:r>
      <w:r>
        <w:rPr>
          <w:rFonts w:ascii="Arial" w:hAnsi="Arial"/>
          <w:spacing w:val="-3"/>
          <w:sz w:val="28"/>
        </w:rPr>
        <w:t xml:space="preserve"> in that he/she (</w:t>
      </w:r>
      <w:r>
        <w:rPr>
          <w:rFonts w:ascii="Arial" w:hAnsi="Arial"/>
          <w:i/>
          <w:spacing w:val="-3"/>
          <w:sz w:val="24"/>
        </w:rPr>
        <w:t>insert element(s) of underlying crime and complainant’s name; e.g., in that he engaged in sexual intercourse with (complainant) by</w:t>
      </w:r>
    </w:p>
    <w:p w14:paraId="3D5B420B" w14:textId="77777777" w:rsidR="00C46F85" w:rsidRDefault="00C46F85">
      <w:pPr>
        <w:kinsoku w:val="0"/>
        <w:overflowPunct w:val="0"/>
        <w:autoSpaceDE/>
        <w:autoSpaceDN/>
        <w:adjustRightInd/>
        <w:spacing w:before="3" w:line="323" w:lineRule="exact"/>
        <w:ind w:left="1440"/>
        <w:textAlignment w:val="baseline"/>
        <w:rPr>
          <w:rFonts w:ascii="Arial" w:hAnsi="Arial"/>
          <w:sz w:val="28"/>
        </w:rPr>
      </w:pPr>
      <w:r>
        <w:rPr>
          <w:rFonts w:ascii="Arial" w:hAnsi="Arial"/>
          <w:i/>
          <w:sz w:val="24"/>
        </w:rPr>
        <w:t>forcible compulsion</w:t>
      </w:r>
      <w:r>
        <w:rPr>
          <w:rFonts w:ascii="Arial" w:hAnsi="Arial"/>
          <w:sz w:val="28"/>
        </w:rPr>
        <w:t>); [and]</w:t>
      </w:r>
    </w:p>
    <w:p w14:paraId="71016FB8" w14:textId="77777777" w:rsidR="00C46F85" w:rsidRDefault="00C46F85">
      <w:pPr>
        <w:kinsoku w:val="0"/>
        <w:overflowPunct w:val="0"/>
        <w:autoSpaceDE/>
        <w:autoSpaceDN/>
        <w:adjustRightInd/>
        <w:spacing w:before="319" w:line="326" w:lineRule="exact"/>
        <w:jc w:val="both"/>
        <w:textAlignment w:val="baseline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Note: If the defendant admitted the prior conviction pursuant to CPL 200.60, do not read element two.</w:t>
      </w:r>
    </w:p>
    <w:p w14:paraId="5F27C9DF" w14:textId="77777777" w:rsidR="00C46F85" w:rsidRDefault="00C46F85">
      <w:pPr>
        <w:tabs>
          <w:tab w:val="right" w:pos="7920"/>
        </w:tabs>
        <w:kinsoku w:val="0"/>
        <w:overflowPunct w:val="0"/>
        <w:autoSpaceDE/>
        <w:autoSpaceDN/>
        <w:adjustRightInd/>
        <w:spacing w:before="319" w:line="323" w:lineRule="exact"/>
        <w:ind w:left="720"/>
        <w:textAlignment w:val="baseline"/>
        <w:rPr>
          <w:rFonts w:ascii="Arial" w:hAnsi="Arial"/>
          <w:spacing w:val="-1"/>
          <w:sz w:val="28"/>
        </w:rPr>
      </w:pPr>
      <w:r>
        <w:rPr>
          <w:rFonts w:ascii="Arial" w:hAnsi="Arial"/>
          <w:spacing w:val="-1"/>
          <w:sz w:val="28"/>
        </w:rPr>
        <w:t>[2.</w:t>
      </w:r>
      <w:r>
        <w:rPr>
          <w:rFonts w:ascii="Arial" w:hAnsi="Arial"/>
          <w:spacing w:val="-1"/>
          <w:sz w:val="28"/>
        </w:rPr>
        <w:tab/>
        <w:t xml:space="preserve">That, on or about </w:t>
      </w:r>
      <w:r>
        <w:rPr>
          <w:rFonts w:ascii="Arial" w:hAnsi="Arial"/>
          <w:i/>
          <w:spacing w:val="-1"/>
          <w:sz w:val="23"/>
          <w:u w:val="single"/>
        </w:rPr>
        <w:t xml:space="preserve"> (date) </w:t>
      </w:r>
      <w:r>
        <w:rPr>
          <w:rFonts w:ascii="Arial" w:hAnsi="Arial"/>
          <w:spacing w:val="-1"/>
          <w:sz w:val="28"/>
        </w:rPr>
        <w:t xml:space="preserve"> , in the County of </w:t>
      </w:r>
      <w:r>
        <w:rPr>
          <w:rFonts w:ascii="Arial" w:hAnsi="Arial"/>
          <w:i/>
          <w:spacing w:val="-1"/>
          <w:sz w:val="23"/>
          <w:u w:val="single"/>
        </w:rPr>
        <w:t xml:space="preserve"> (County) </w:t>
      </w:r>
      <w:r>
        <w:rPr>
          <w:rFonts w:ascii="Arial" w:hAnsi="Arial"/>
          <w:spacing w:val="-1"/>
          <w:sz w:val="28"/>
        </w:rPr>
        <w:t xml:space="preserve"> , the</w:t>
      </w:r>
    </w:p>
    <w:p w14:paraId="14785CBC" w14:textId="77777777" w:rsidR="00C46F85" w:rsidRDefault="00C46F85">
      <w:pPr>
        <w:kinsoku w:val="0"/>
        <w:overflowPunct w:val="0"/>
        <w:autoSpaceDE/>
        <w:autoSpaceDN/>
        <w:adjustRightInd/>
        <w:spacing w:before="3" w:line="323" w:lineRule="exact"/>
        <w:ind w:left="1440"/>
        <w:textAlignment w:val="baseline"/>
        <w:rPr>
          <w:rFonts w:ascii="Arial" w:hAnsi="Arial"/>
          <w:spacing w:val="-8"/>
          <w:sz w:val="28"/>
        </w:rPr>
      </w:pPr>
      <w:r>
        <w:rPr>
          <w:rFonts w:ascii="Arial" w:hAnsi="Arial"/>
          <w:spacing w:val="-8"/>
          <w:sz w:val="28"/>
        </w:rPr>
        <w:t xml:space="preserve">defendant, </w:t>
      </w:r>
      <w:r>
        <w:rPr>
          <w:rFonts w:ascii="Arial" w:hAnsi="Arial"/>
          <w:i/>
          <w:spacing w:val="-8"/>
          <w:sz w:val="23"/>
          <w:u w:val="single"/>
        </w:rPr>
        <w:t xml:space="preserve"> (defendant's name) </w:t>
      </w:r>
      <w:r>
        <w:rPr>
          <w:rFonts w:ascii="Arial" w:hAnsi="Arial"/>
          <w:spacing w:val="-8"/>
          <w:sz w:val="28"/>
        </w:rPr>
        <w:t xml:space="preserve"> , was previously convicted</w:t>
      </w:r>
    </w:p>
    <w:p w14:paraId="688A6146" w14:textId="77777777" w:rsidR="00C46F85" w:rsidRDefault="00C46F85">
      <w:pPr>
        <w:kinsoku w:val="0"/>
        <w:overflowPunct w:val="0"/>
        <w:autoSpaceDE/>
        <w:autoSpaceDN/>
        <w:adjustRightInd/>
        <w:spacing w:before="41" w:line="268" w:lineRule="exact"/>
        <w:ind w:left="1440"/>
        <w:jc w:val="both"/>
        <w:textAlignment w:val="baseline"/>
        <w:rPr>
          <w:rFonts w:ascii="Arial" w:hAnsi="Arial"/>
          <w:i/>
          <w:sz w:val="22"/>
          <w:u w:val="single"/>
        </w:rPr>
      </w:pPr>
      <w:r>
        <w:rPr>
          <w:rFonts w:ascii="Arial" w:hAnsi="Arial"/>
          <w:sz w:val="28"/>
        </w:rPr>
        <w:t>of (</w:t>
      </w:r>
      <w:r>
        <w:rPr>
          <w:rFonts w:ascii="Arial" w:hAnsi="Arial"/>
          <w:i/>
          <w:sz w:val="22"/>
          <w:u w:val="single"/>
        </w:rPr>
        <w:t>specify: a felony defined in Penal Law article 130, incest as defined in Penal Law section 255.25 or use of a child in a sexual</w:t>
      </w:r>
    </w:p>
    <w:p w14:paraId="1FC2B77D" w14:textId="77777777" w:rsidR="00C46F85" w:rsidRDefault="00C46F85">
      <w:pPr>
        <w:kinsoku w:val="0"/>
        <w:overflowPunct w:val="0"/>
        <w:autoSpaceDE/>
        <w:autoSpaceDN/>
        <w:adjustRightInd/>
        <w:spacing w:line="323" w:lineRule="exact"/>
        <w:ind w:left="1440"/>
        <w:textAlignment w:val="baseline"/>
        <w:rPr>
          <w:rFonts w:ascii="Arial" w:hAnsi="Arial"/>
          <w:sz w:val="28"/>
          <w:u w:val="single"/>
        </w:rPr>
      </w:pPr>
      <w:r>
        <w:rPr>
          <w:rFonts w:ascii="Arial" w:hAnsi="Arial"/>
          <w:i/>
          <w:sz w:val="22"/>
          <w:u w:val="single"/>
        </w:rPr>
        <w:t>performance as defined in Penal Law section 263.05</w:t>
      </w:r>
      <w:r>
        <w:rPr>
          <w:rFonts w:ascii="Arial" w:hAnsi="Arial"/>
          <w:sz w:val="22"/>
        </w:rPr>
        <w:t>)</w:t>
      </w:r>
      <w:r>
        <w:rPr>
          <w:rFonts w:ascii="Arial" w:hAnsi="Arial"/>
          <w:sz w:val="28"/>
        </w:rPr>
        <w:t>.]</w:t>
      </w:r>
    </w:p>
    <w:p w14:paraId="0C05EFF5" w14:textId="77777777" w:rsidR="00C46F85" w:rsidRDefault="00C46F85">
      <w:pPr>
        <w:kinsoku w:val="0"/>
        <w:overflowPunct w:val="0"/>
        <w:autoSpaceDE/>
        <w:autoSpaceDN/>
        <w:adjustRightInd/>
        <w:spacing w:before="325" w:line="323" w:lineRule="exact"/>
        <w:ind w:firstLine="720"/>
        <w:jc w:val="both"/>
        <w:textAlignment w:val="baseline"/>
        <w:rPr>
          <w:rFonts w:ascii="Arial" w:hAnsi="Arial"/>
          <w:sz w:val="28"/>
        </w:rPr>
      </w:pPr>
      <w:r>
        <w:rPr>
          <w:rFonts w:ascii="Arial" w:hAnsi="Arial"/>
          <w:sz w:val="28"/>
        </w:rPr>
        <w:t>If you find the People have proven beyond a reasonable doubt (that element / each element), you must find the defendant guilty of this crime.</w:t>
      </w:r>
    </w:p>
    <w:p w14:paraId="5AD350A9" w14:textId="77777777" w:rsidR="00C46F85" w:rsidRDefault="00C46F85">
      <w:pPr>
        <w:kinsoku w:val="0"/>
        <w:overflowPunct w:val="0"/>
        <w:autoSpaceDE/>
        <w:autoSpaceDN/>
        <w:adjustRightInd/>
        <w:spacing w:before="331" w:after="6424" w:line="323" w:lineRule="exact"/>
        <w:ind w:firstLine="720"/>
        <w:jc w:val="both"/>
        <w:textAlignment w:val="baseline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>If you find the People have not proven beyond a reasonable doubt (that element / either one or both of those elements), you must find the defendant not guilty of this crime.</w:t>
      </w:r>
    </w:p>
    <w:p w14:paraId="77CA483F" w14:textId="77777777" w:rsidR="00C46F85" w:rsidRDefault="00C46F85">
      <w:pPr>
        <w:widowControl/>
        <w:rPr>
          <w:sz w:val="24"/>
        </w:rPr>
        <w:sectPr w:rsidR="00C46F85" w:rsidSect="007C41C8">
          <w:pgSz w:w="12240" w:h="15840"/>
          <w:pgMar w:top="1080" w:right="2138" w:bottom="664" w:left="2162" w:header="720" w:footer="720" w:gutter="0"/>
          <w:cols w:space="720"/>
          <w:noEndnote/>
        </w:sectPr>
      </w:pPr>
    </w:p>
    <w:p w14:paraId="26428576" w14:textId="77777777" w:rsidR="00C46F85" w:rsidRDefault="00C46F85">
      <w:pPr>
        <w:kinsoku w:val="0"/>
        <w:overflowPunct w:val="0"/>
        <w:autoSpaceDE/>
        <w:autoSpaceDN/>
        <w:adjustRightInd/>
        <w:spacing w:before="2" w:line="297" w:lineRule="exact"/>
        <w:jc w:val="center"/>
        <w:textAlignment w:val="baseline"/>
        <w:rPr>
          <w:rFonts w:ascii="Arial" w:hAnsi="Arial"/>
          <w:sz w:val="26"/>
        </w:rPr>
      </w:pPr>
      <w:r>
        <w:rPr>
          <w:rFonts w:ascii="Arial" w:hAnsi="Arial"/>
          <w:sz w:val="26"/>
        </w:rPr>
        <w:t>2</w:t>
      </w:r>
    </w:p>
    <w:sectPr w:rsidR="00C46F85" w:rsidSect="007C41C8">
      <w:type w:val="continuous"/>
      <w:pgSz w:w="12240" w:h="15840"/>
      <w:pgMar w:top="1080" w:right="2150" w:bottom="664" w:left="21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34B2C" w14:textId="77777777" w:rsidR="004C694E" w:rsidRDefault="004C694E" w:rsidP="004C694E">
      <w:r>
        <w:separator/>
      </w:r>
    </w:p>
  </w:endnote>
  <w:endnote w:type="continuationSeparator" w:id="0">
    <w:p w14:paraId="1DA4269E" w14:textId="77777777" w:rsidR="004C694E" w:rsidRDefault="004C694E" w:rsidP="004C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1D1EF" w14:textId="77777777" w:rsidR="004C694E" w:rsidRDefault="004C694E" w:rsidP="004C694E">
      <w:r>
        <w:separator/>
      </w:r>
    </w:p>
  </w:footnote>
  <w:footnote w:type="continuationSeparator" w:id="0">
    <w:p w14:paraId="04F5D58E" w14:textId="77777777" w:rsidR="004C694E" w:rsidRDefault="004C694E" w:rsidP="004C694E">
      <w:r>
        <w:continuationSeparator/>
      </w:r>
    </w:p>
  </w:footnote>
  <w:footnote w:id="1">
    <w:p w14:paraId="2ACE5852" w14:textId="77777777" w:rsidR="00773063" w:rsidRPr="00773063" w:rsidRDefault="004C694E" w:rsidP="00773063">
      <w:pPr>
        <w:spacing w:before="328" w:line="323" w:lineRule="exact"/>
        <w:ind w:firstLine="720"/>
        <w:jc w:val="both"/>
        <w:textAlignment w:val="baseline"/>
        <w:rPr>
          <w:rFonts w:ascii="Arial" w:eastAsia="Arial" w:hAnsi="Arial"/>
          <w:color w:val="00B050"/>
          <w:spacing w:val="3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="00773063" w:rsidRPr="00773063">
        <w:rPr>
          <w:rFonts w:ascii="Arial" w:eastAsia="Arial" w:hAnsi="Arial"/>
          <w:color w:val="00B050"/>
          <w:spacing w:val="3"/>
          <w:sz w:val="22"/>
          <w:szCs w:val="22"/>
        </w:rPr>
        <w:t>Although Rape includes oral and anal sexual contact, the L. 2024, c. 23 added: “a crime formerly defined in section 130.50 of this title.”  Penal Law former § 130.50 defined “criminal sexual act in the first degree.”  Reference to the repealed law should be unnecessary when Rape is charged and is therefore not included in the text.</w:t>
      </w:r>
    </w:p>
    <w:p w14:paraId="7A8D0522" w14:textId="491F1569" w:rsidR="004C694E" w:rsidRDefault="004C694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85"/>
    <w:rsid w:val="00193F07"/>
    <w:rsid w:val="004C694E"/>
    <w:rsid w:val="00664341"/>
    <w:rsid w:val="00773063"/>
    <w:rsid w:val="007C41C8"/>
    <w:rsid w:val="009A76FF"/>
    <w:rsid w:val="00C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585D0"/>
  <w14:defaultImageDpi w14:val="0"/>
  <w15:docId w15:val="{97B3DEFD-E94D-4048-A5C1-CFBBF7AC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C694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94E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69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A12FD-1AE0-42B7-9A25-3FCD5352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430</Words>
  <Characters>2111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Donnino</dc:creator>
  <cp:keywords/>
  <dc:description/>
  <cp:lastModifiedBy>Bill Donnino</cp:lastModifiedBy>
  <cp:revision>6</cp:revision>
  <dcterms:created xsi:type="dcterms:W3CDTF">2019-05-30T05:23:00Z</dcterms:created>
  <dcterms:modified xsi:type="dcterms:W3CDTF">2024-04-05T21:21:00Z</dcterms:modified>
</cp:coreProperties>
</file>