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2196B" w14:textId="77777777" w:rsidR="00133F29" w:rsidRDefault="00A97735" w:rsidP="00A97735">
      <w:pPr>
        <w:widowControl w:val="0"/>
        <w:tabs>
          <w:tab w:val="center" w:pos="3960"/>
        </w:tabs>
        <w:jc w:val="both"/>
        <w:rPr>
          <w:rFonts w:ascii="Arial" w:hAnsi="Arial"/>
          <w:b/>
          <w:sz w:val="28"/>
        </w:rPr>
      </w:pPr>
      <w:r>
        <w:fldChar w:fldCharType="begin"/>
      </w:r>
      <w:r>
        <w:instrText xml:space="preserve"> SEQ CHAPTER \h \r 1</w:instrText>
      </w:r>
      <w:r>
        <w:fldChar w:fldCharType="end"/>
      </w:r>
      <w:r>
        <w:rPr>
          <w:rFonts w:ascii="Arial" w:hAnsi="Arial"/>
          <w:b/>
          <w:sz w:val="28"/>
        </w:rPr>
        <w:tab/>
        <w:t>AFFIRMATIVE DEFENSE</w:t>
      </w:r>
    </w:p>
    <w:p w14:paraId="0CE62006" w14:textId="77777777" w:rsidR="00133F29" w:rsidRDefault="00A97735" w:rsidP="00A97735">
      <w:pPr>
        <w:widowControl w:val="0"/>
        <w:tabs>
          <w:tab w:val="center" w:pos="3960"/>
        </w:tabs>
        <w:jc w:val="both"/>
        <w:rPr>
          <w:rFonts w:ascii="Arial" w:hAnsi="Arial"/>
          <w:b/>
          <w:sz w:val="28"/>
        </w:rPr>
      </w:pPr>
      <w:r>
        <w:rPr>
          <w:rFonts w:ascii="Arial" w:hAnsi="Arial"/>
          <w:b/>
          <w:sz w:val="28"/>
        </w:rPr>
        <w:tab/>
        <w:t xml:space="preserve">(Client or patient consent </w:t>
      </w:r>
      <w:r>
        <w:rPr>
          <w:rStyle w:val="EndnoteReference"/>
          <w:rFonts w:ascii="Arial" w:hAnsi="Arial"/>
          <w:b/>
          <w:sz w:val="28"/>
        </w:rPr>
        <w:endnoteReference w:id="1"/>
      </w:r>
      <w:r>
        <w:rPr>
          <w:rFonts w:ascii="Arial" w:hAnsi="Arial"/>
          <w:b/>
          <w:sz w:val="28"/>
        </w:rPr>
        <w:t>)</w:t>
      </w:r>
    </w:p>
    <w:p w14:paraId="73674D49" w14:textId="0B2670A5" w:rsidR="00133F29" w:rsidRDefault="00A97735" w:rsidP="00A97735">
      <w:pPr>
        <w:widowControl w:val="0"/>
        <w:tabs>
          <w:tab w:val="center" w:pos="3960"/>
        </w:tabs>
        <w:jc w:val="both"/>
        <w:rPr>
          <w:rFonts w:ascii="Arial" w:hAnsi="Arial"/>
          <w:b/>
          <w:sz w:val="28"/>
        </w:rPr>
      </w:pPr>
      <w:r>
        <w:rPr>
          <w:rFonts w:ascii="Arial" w:hAnsi="Arial"/>
          <w:b/>
          <w:sz w:val="28"/>
        </w:rPr>
        <w:tab/>
        <w:t>[Penal Law § 130.10(3)]</w:t>
      </w:r>
    </w:p>
    <w:p w14:paraId="07EA42B4" w14:textId="7A28952E" w:rsidR="00A85872" w:rsidRDefault="00A85872" w:rsidP="003C2B0B">
      <w:pPr>
        <w:widowControl w:val="0"/>
        <w:tabs>
          <w:tab w:val="center" w:pos="3960"/>
        </w:tabs>
        <w:jc w:val="center"/>
        <w:rPr>
          <w:rFonts w:ascii="Arial" w:hAnsi="Arial"/>
          <w:sz w:val="28"/>
        </w:rPr>
      </w:pPr>
      <w:r>
        <w:rPr>
          <w:rFonts w:ascii="Arial" w:hAnsi="Arial"/>
          <w:b/>
          <w:sz w:val="28"/>
        </w:rPr>
        <w:t xml:space="preserve">(Effective Jan 1, 2024, “criminal sexual act </w:t>
      </w:r>
      <w:r w:rsidR="00C75CE7">
        <w:rPr>
          <w:rFonts w:ascii="Arial" w:hAnsi="Arial"/>
          <w:b/>
          <w:sz w:val="28"/>
        </w:rPr>
        <w:t>in the third degree” was del</w:t>
      </w:r>
      <w:r w:rsidR="004A7B53">
        <w:rPr>
          <w:rFonts w:ascii="Arial" w:hAnsi="Arial"/>
          <w:b/>
          <w:sz w:val="28"/>
        </w:rPr>
        <w:t>eted from Penal Law § 130.10(3)</w:t>
      </w:r>
      <w:r w:rsidR="003C2B0B">
        <w:rPr>
          <w:rFonts w:ascii="Arial" w:hAnsi="Arial"/>
          <w:b/>
          <w:sz w:val="28"/>
        </w:rPr>
        <w:t>)</w:t>
      </w:r>
    </w:p>
    <w:p w14:paraId="5D0CD1D1" w14:textId="77777777" w:rsidR="00133F29" w:rsidRDefault="00133F29" w:rsidP="00A97735">
      <w:pPr>
        <w:widowControl w:val="0"/>
        <w:jc w:val="both"/>
        <w:rPr>
          <w:rFonts w:ascii="Arial" w:hAnsi="Arial"/>
          <w:sz w:val="28"/>
        </w:rPr>
      </w:pPr>
    </w:p>
    <w:p w14:paraId="4FDA3922" w14:textId="77777777" w:rsidR="00133F29" w:rsidRDefault="00A97735" w:rsidP="00A97735">
      <w:pPr>
        <w:widowControl w:val="0"/>
        <w:tabs>
          <w:tab w:val="center" w:pos="3960"/>
        </w:tabs>
        <w:jc w:val="both"/>
        <w:rPr>
          <w:rFonts w:ascii="Arial" w:hAnsi="Arial"/>
          <w:sz w:val="28"/>
        </w:rPr>
      </w:pPr>
      <w:r>
        <w:rPr>
          <w:rFonts w:ascii="Arial" w:hAnsi="Arial"/>
          <w:sz w:val="28"/>
        </w:rPr>
        <w:tab/>
      </w:r>
    </w:p>
    <w:p w14:paraId="01CEB103" w14:textId="77777777" w:rsidR="00133F29" w:rsidRDefault="00133F29" w:rsidP="00A97735">
      <w:pPr>
        <w:widowControl w:val="0"/>
        <w:spacing w:line="-19" w:lineRule="auto"/>
        <w:jc w:val="both"/>
        <w:rPr>
          <w:rFonts w:ascii="Arial" w:hAnsi="Arial"/>
          <w:sz w:val="28"/>
        </w:rPr>
      </w:pPr>
    </w:p>
    <w:p w14:paraId="71696387" w14:textId="77777777" w:rsidR="00133F29" w:rsidRDefault="00A97735" w:rsidP="00A97735">
      <w:pPr>
        <w:widowControl w:val="0"/>
        <w:ind w:left="720" w:right="720"/>
        <w:jc w:val="both"/>
        <w:rPr>
          <w:rFonts w:ascii="Arial" w:hAnsi="Arial"/>
          <w:sz w:val="30"/>
        </w:rPr>
      </w:pPr>
      <w:r>
        <w:rPr>
          <w:rFonts w:ascii="Arial" w:hAnsi="Arial"/>
          <w:sz w:val="28"/>
        </w:rPr>
        <w:t xml:space="preserve">Note: </w:t>
      </w:r>
      <w:r>
        <w:rPr>
          <w:rFonts w:ascii="Arial" w:hAnsi="Arial"/>
          <w:i/>
          <w:sz w:val="28"/>
        </w:rPr>
        <w:t>If applicable, omit the final two paragraphs of the instructions on the crime charged, and substitute the following:</w:t>
      </w:r>
    </w:p>
    <w:p w14:paraId="731C2F06" w14:textId="77777777" w:rsidR="00133F29" w:rsidRDefault="00133F29" w:rsidP="00A97735">
      <w:pPr>
        <w:widowControl w:val="0"/>
        <w:jc w:val="both"/>
        <w:rPr>
          <w:rFonts w:ascii="Arial" w:hAnsi="Arial"/>
          <w:sz w:val="28"/>
        </w:rPr>
      </w:pPr>
    </w:p>
    <w:p w14:paraId="1B44E933" w14:textId="77777777" w:rsidR="00133F29" w:rsidRDefault="00A97735" w:rsidP="00A97735">
      <w:pPr>
        <w:widowControl w:val="0"/>
        <w:tabs>
          <w:tab w:val="center" w:pos="3960"/>
        </w:tabs>
        <w:jc w:val="both"/>
        <w:rPr>
          <w:rFonts w:ascii="Arial" w:hAnsi="Arial"/>
          <w:sz w:val="28"/>
        </w:rPr>
      </w:pPr>
      <w:r>
        <w:rPr>
          <w:rFonts w:ascii="Arial" w:hAnsi="Arial"/>
          <w:sz w:val="28"/>
        </w:rPr>
        <w:tab/>
      </w:r>
    </w:p>
    <w:p w14:paraId="3DB31248" w14:textId="77777777" w:rsidR="00133F29" w:rsidRDefault="00133F29" w:rsidP="00A97735">
      <w:pPr>
        <w:widowControl w:val="0"/>
        <w:spacing w:line="-19" w:lineRule="auto"/>
        <w:jc w:val="both"/>
        <w:rPr>
          <w:rFonts w:ascii="Arial" w:hAnsi="Arial"/>
          <w:sz w:val="30"/>
        </w:rPr>
      </w:pPr>
    </w:p>
    <w:p w14:paraId="19D13C4F" w14:textId="77777777" w:rsidR="00133F29" w:rsidRDefault="00A97735" w:rsidP="00A97735">
      <w:pPr>
        <w:widowControl w:val="0"/>
        <w:jc w:val="both"/>
        <w:rPr>
          <w:rFonts w:ascii="Arial" w:hAnsi="Arial"/>
          <w:sz w:val="28"/>
        </w:rPr>
      </w:pPr>
      <w:r>
        <w:rPr>
          <w:rFonts w:ascii="Arial" w:hAnsi="Arial"/>
          <w:sz w:val="30"/>
        </w:rPr>
        <w:tab/>
        <w:t xml:space="preserve">If you find that the People have not proven beyond a reasonable doubt (either one or both/any one or more) of those elements, you must find the defendant not guilty of </w:t>
      </w:r>
      <w:r>
        <w:rPr>
          <w:rFonts w:ascii="Arial" w:hAnsi="Arial"/>
          <w:sz w:val="28"/>
        </w:rPr>
        <w:t>(</w:t>
      </w:r>
      <w:r>
        <w:rPr>
          <w:rFonts w:ascii="Arial" w:hAnsi="Arial"/>
          <w:i/>
          <w:sz w:val="28"/>
          <w:u w:val="single"/>
        </w:rPr>
        <w:t>specify</w:t>
      </w:r>
      <w:r>
        <w:rPr>
          <w:rFonts w:ascii="Arial" w:hAnsi="Arial"/>
          <w:sz w:val="28"/>
        </w:rPr>
        <w:t>) as charged in ______ count.</w:t>
      </w:r>
    </w:p>
    <w:p w14:paraId="0B03689C" w14:textId="77777777" w:rsidR="00133F29" w:rsidRDefault="00133F29" w:rsidP="00A97735">
      <w:pPr>
        <w:widowControl w:val="0"/>
        <w:jc w:val="both"/>
        <w:rPr>
          <w:rFonts w:ascii="Arial" w:hAnsi="Arial"/>
          <w:sz w:val="28"/>
        </w:rPr>
      </w:pPr>
    </w:p>
    <w:p w14:paraId="1CD0EE35" w14:textId="77777777" w:rsidR="00133F29" w:rsidRDefault="00A97735" w:rsidP="00A97735">
      <w:pPr>
        <w:widowControl w:val="0"/>
        <w:jc w:val="both"/>
        <w:rPr>
          <w:rFonts w:ascii="Arial" w:hAnsi="Arial"/>
          <w:sz w:val="28"/>
        </w:rPr>
      </w:pPr>
      <w:r>
        <w:rPr>
          <w:rFonts w:ascii="Arial" w:hAnsi="Arial"/>
          <w:sz w:val="28"/>
        </w:rPr>
        <w:tab/>
        <w:t xml:space="preserve">If you find that the People have proven beyond a reasonable doubt (both </w:t>
      </w:r>
      <w:r>
        <w:rPr>
          <w:rFonts w:ascii="Arial" w:hAnsi="Arial"/>
          <w:i/>
          <w:sz w:val="28"/>
        </w:rPr>
        <w:t xml:space="preserve">/ </w:t>
      </w:r>
      <w:r>
        <w:rPr>
          <w:rFonts w:ascii="Arial" w:hAnsi="Arial"/>
          <w:sz w:val="28"/>
        </w:rPr>
        <w:t>each) of the elements, you must consider an affirmative defense the defendant has raised.  Remember, if you have already found the defendant not guilty of (</w:t>
      </w:r>
      <w:r>
        <w:rPr>
          <w:rFonts w:ascii="Arial" w:hAnsi="Arial"/>
          <w:i/>
          <w:sz w:val="28"/>
          <w:u w:val="single"/>
        </w:rPr>
        <w:t>specify</w:t>
      </w:r>
      <w:r>
        <w:rPr>
          <w:rFonts w:ascii="Arial" w:hAnsi="Arial"/>
          <w:sz w:val="28"/>
        </w:rPr>
        <w:t>), you will not consider the affirmative defense.</w:t>
      </w:r>
    </w:p>
    <w:p w14:paraId="164F3050" w14:textId="77777777" w:rsidR="00133F29" w:rsidRDefault="00133F29" w:rsidP="00A97735">
      <w:pPr>
        <w:widowControl w:val="0"/>
        <w:jc w:val="both"/>
        <w:rPr>
          <w:rFonts w:ascii="Arial" w:hAnsi="Arial"/>
          <w:sz w:val="28"/>
        </w:rPr>
      </w:pPr>
    </w:p>
    <w:p w14:paraId="76FD245B" w14:textId="77777777" w:rsidR="00133F29" w:rsidRDefault="00A97735" w:rsidP="00A97735">
      <w:pPr>
        <w:widowControl w:val="0"/>
        <w:jc w:val="both"/>
        <w:rPr>
          <w:rFonts w:ascii="Arial" w:hAnsi="Arial"/>
          <w:sz w:val="30"/>
        </w:rPr>
      </w:pPr>
      <w:r>
        <w:rPr>
          <w:rFonts w:ascii="Arial" w:hAnsi="Arial"/>
          <w:sz w:val="28"/>
        </w:rPr>
        <w:tab/>
        <w:t>Under our law, it is an affirmative defense to this charge of (</w:t>
      </w:r>
      <w:r>
        <w:rPr>
          <w:rFonts w:ascii="Arial" w:hAnsi="Arial"/>
          <w:i/>
          <w:sz w:val="28"/>
          <w:u w:val="single"/>
        </w:rPr>
        <w:t>specify</w:t>
      </w:r>
      <w:r>
        <w:rPr>
          <w:rFonts w:ascii="Arial" w:hAnsi="Arial"/>
          <w:sz w:val="28"/>
        </w:rPr>
        <w:t>)</w:t>
      </w:r>
      <w:r>
        <w:rPr>
          <w:rFonts w:ascii="Arial" w:hAnsi="Arial"/>
          <w:sz w:val="30"/>
        </w:rPr>
        <w:t xml:space="preserve">  that the client or patient consented to such conduct charged after having been expressly advised by the health care or mental health care provider that such conduct was not performed for a valid medical purpose.</w:t>
      </w:r>
    </w:p>
    <w:p w14:paraId="6868B935" w14:textId="77777777" w:rsidR="00133F29" w:rsidRDefault="00133F29" w:rsidP="00A97735">
      <w:pPr>
        <w:widowControl w:val="0"/>
        <w:jc w:val="both"/>
        <w:rPr>
          <w:rFonts w:ascii="Arial" w:hAnsi="Arial"/>
          <w:sz w:val="30"/>
        </w:rPr>
      </w:pPr>
    </w:p>
    <w:p w14:paraId="149613BA" w14:textId="77777777" w:rsidR="00133F29" w:rsidRDefault="00A97735" w:rsidP="00A97735">
      <w:pPr>
        <w:widowControl w:val="0"/>
        <w:jc w:val="both"/>
        <w:rPr>
          <w:rFonts w:ascii="Arial" w:hAnsi="Arial"/>
          <w:sz w:val="30"/>
        </w:rPr>
      </w:pPr>
      <w:r>
        <w:rPr>
          <w:rFonts w:ascii="Arial" w:hAnsi="Arial"/>
          <w:sz w:val="30"/>
        </w:rPr>
        <w:tab/>
        <w:t>Under our law, the defendant has the burden of proving an affirmative defense by a preponderance of the evidence.</w:t>
      </w:r>
    </w:p>
    <w:p w14:paraId="5C7F8881" w14:textId="77777777" w:rsidR="00133F29" w:rsidRDefault="00133F29" w:rsidP="00A97735">
      <w:pPr>
        <w:widowControl w:val="0"/>
        <w:jc w:val="both"/>
        <w:rPr>
          <w:rFonts w:ascii="Arial" w:hAnsi="Arial"/>
          <w:sz w:val="30"/>
        </w:rPr>
      </w:pPr>
    </w:p>
    <w:p w14:paraId="23A4B713" w14:textId="77777777" w:rsidR="00133F29" w:rsidRDefault="00A97735" w:rsidP="00A97735">
      <w:pPr>
        <w:widowControl w:val="0"/>
        <w:jc w:val="both"/>
        <w:rPr>
          <w:rFonts w:ascii="Arial" w:hAnsi="Arial"/>
          <w:sz w:val="30"/>
        </w:rPr>
      </w:pPr>
      <w:r>
        <w:rPr>
          <w:rFonts w:ascii="Arial" w:hAnsi="Arial"/>
          <w:sz w:val="30"/>
        </w:rPr>
        <w:tab/>
        <w:t>In determining whether the defendant has proven the affirmative defense by a preponderance of the evidence, you may consider evidence introduced by the People or by the defendant.</w:t>
      </w:r>
    </w:p>
    <w:p w14:paraId="01101133" w14:textId="77777777" w:rsidR="00133F29" w:rsidRDefault="00133F29" w:rsidP="00A97735">
      <w:pPr>
        <w:widowControl w:val="0"/>
        <w:jc w:val="both"/>
        <w:rPr>
          <w:rFonts w:ascii="Arial" w:hAnsi="Arial"/>
          <w:sz w:val="30"/>
        </w:rPr>
      </w:pPr>
    </w:p>
    <w:p w14:paraId="607074F7" w14:textId="77777777" w:rsidR="00133F29" w:rsidRDefault="00A97735" w:rsidP="00A97735">
      <w:pPr>
        <w:widowControl w:val="0"/>
        <w:jc w:val="both"/>
        <w:rPr>
          <w:rFonts w:ascii="Arial" w:hAnsi="Arial"/>
          <w:sz w:val="30"/>
        </w:rPr>
      </w:pPr>
      <w:r>
        <w:rPr>
          <w:rFonts w:ascii="Arial" w:hAnsi="Arial"/>
          <w:sz w:val="30"/>
        </w:rPr>
        <w:lastRenderedPageBreak/>
        <w:tab/>
        <w:t xml:space="preserve">A preponderance of the evidence means the greater part of the believable and reliable evidence, not in terms of the number of witnesses or the length of time taken to present the evidence, but in terms of its quality and the weight and convincing effect it has.  For the affirmative defense to be proved by a preponderance of the evidence, the evidence that supports the affirmative defense must be of such convincing quality as to outweigh any evidence to the contrary. </w:t>
      </w:r>
    </w:p>
    <w:p w14:paraId="554424B6" w14:textId="77777777" w:rsidR="00133F29" w:rsidRDefault="00133F29" w:rsidP="00A97735">
      <w:pPr>
        <w:widowControl w:val="0"/>
        <w:jc w:val="both"/>
        <w:rPr>
          <w:rFonts w:ascii="Arial" w:hAnsi="Arial"/>
          <w:sz w:val="30"/>
        </w:rPr>
      </w:pPr>
    </w:p>
    <w:p w14:paraId="32413E86" w14:textId="77777777" w:rsidR="00133F29" w:rsidRDefault="00A97735" w:rsidP="00A97735">
      <w:pPr>
        <w:widowControl w:val="0"/>
        <w:jc w:val="both"/>
        <w:rPr>
          <w:rFonts w:ascii="Arial" w:hAnsi="Arial"/>
          <w:sz w:val="30"/>
        </w:rPr>
      </w:pPr>
      <w:r>
        <w:rPr>
          <w:rFonts w:ascii="Arial" w:hAnsi="Arial"/>
          <w:sz w:val="30"/>
        </w:rPr>
        <w:tab/>
        <w:t xml:space="preserve">If you find that the defendant has not proven the affirmative defense by a preponderance of the evidence, then, based upon your initial determination that the People had proven beyond a reasonable doubt the elements of </w:t>
      </w:r>
      <w:r>
        <w:rPr>
          <w:rFonts w:ascii="Arial" w:hAnsi="Arial"/>
          <w:sz w:val="28"/>
        </w:rPr>
        <w:t>(</w:t>
      </w:r>
      <w:r>
        <w:rPr>
          <w:rFonts w:ascii="Arial" w:hAnsi="Arial"/>
          <w:i/>
          <w:sz w:val="28"/>
          <w:u w:val="single"/>
        </w:rPr>
        <w:t>specify</w:t>
      </w:r>
      <w:r>
        <w:rPr>
          <w:rFonts w:ascii="Arial" w:hAnsi="Arial"/>
          <w:sz w:val="28"/>
        </w:rPr>
        <w:t xml:space="preserve">), </w:t>
      </w:r>
      <w:r>
        <w:rPr>
          <w:rFonts w:ascii="Arial" w:hAnsi="Arial"/>
          <w:sz w:val="30"/>
        </w:rPr>
        <w:t xml:space="preserve"> you must find the defendant guilty of that crime.</w:t>
      </w:r>
    </w:p>
    <w:p w14:paraId="0C085D72" w14:textId="77777777" w:rsidR="00133F29" w:rsidRDefault="00133F29" w:rsidP="00A97735">
      <w:pPr>
        <w:widowControl w:val="0"/>
        <w:jc w:val="both"/>
        <w:rPr>
          <w:rFonts w:ascii="Arial" w:hAnsi="Arial"/>
          <w:sz w:val="30"/>
        </w:rPr>
      </w:pPr>
    </w:p>
    <w:p w14:paraId="37F58BD2" w14:textId="661BF1D5" w:rsidR="00133F29" w:rsidRDefault="00A97735" w:rsidP="00A97735">
      <w:pPr>
        <w:widowControl w:val="0"/>
        <w:jc w:val="both"/>
        <w:rPr>
          <w:rFonts w:ascii="Arial" w:hAnsi="Arial"/>
          <w:sz w:val="26"/>
        </w:rPr>
      </w:pPr>
      <w:r>
        <w:rPr>
          <w:rFonts w:ascii="Arial" w:hAnsi="Arial"/>
          <w:sz w:val="30"/>
        </w:rPr>
        <w:tab/>
        <w:t xml:space="preserve">If you find that the defendant has proven the affirmative defense by a preponderance of the evidence, then you must find the defendant not guilty of </w:t>
      </w:r>
      <w:r>
        <w:rPr>
          <w:rFonts w:ascii="Arial" w:hAnsi="Arial"/>
          <w:sz w:val="28"/>
        </w:rPr>
        <w:t>(</w:t>
      </w:r>
      <w:r>
        <w:rPr>
          <w:rFonts w:ascii="Arial" w:hAnsi="Arial"/>
          <w:i/>
          <w:sz w:val="28"/>
          <w:u w:val="single"/>
        </w:rPr>
        <w:t>specify</w:t>
      </w:r>
      <w:r>
        <w:rPr>
          <w:rFonts w:ascii="Arial" w:hAnsi="Arial"/>
          <w:sz w:val="28"/>
        </w:rPr>
        <w:t>)</w:t>
      </w:r>
      <w:r>
        <w:rPr>
          <w:rFonts w:ascii="Arial" w:hAnsi="Arial"/>
          <w:sz w:val="30"/>
        </w:rPr>
        <w:t>.</w:t>
      </w:r>
    </w:p>
    <w:p w14:paraId="6201D3F9" w14:textId="77777777" w:rsidR="00133F29" w:rsidRDefault="00A97735" w:rsidP="00A97735">
      <w:pPr>
        <w:widowControl w:val="0"/>
        <w:spacing w:line="0" w:lineRule="atLeast"/>
        <w:jc w:val="both"/>
        <w:rPr>
          <w:rFonts w:ascii="Arial" w:hAnsi="Arial"/>
          <w:sz w:val="26"/>
        </w:rPr>
      </w:pPr>
      <w:r>
        <w:rPr>
          <w:rFonts w:ascii="Arial" w:hAnsi="Arial"/>
          <w:sz w:val="26"/>
        </w:rPr>
        <w:br w:type="page"/>
      </w:r>
    </w:p>
    <w:p w14:paraId="7B2DEBBE" w14:textId="77777777" w:rsidR="00133F29" w:rsidRDefault="00133F29" w:rsidP="00A97735">
      <w:pPr>
        <w:widowControl w:val="0"/>
        <w:spacing w:line="0" w:lineRule="atLeast"/>
        <w:jc w:val="both"/>
      </w:pPr>
    </w:p>
    <w:sectPr w:rsidR="00133F29">
      <w:headerReference w:type="even" r:id="rId6"/>
      <w:headerReference w:type="default" r:id="rId7"/>
      <w:footerReference w:type="even" r:id="rId8"/>
      <w:footerReference w:type="default" r:id="rId9"/>
      <w:endnotePr>
        <w:numFmt w:val="decimal"/>
      </w:endnotePr>
      <w:type w:val="continuous"/>
      <w:pgSz w:w="12240" w:h="15840"/>
      <w:pgMar w:top="1440" w:right="2160" w:bottom="1440" w:left="2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11A8A" w14:textId="77777777" w:rsidR="00133F29" w:rsidRDefault="00A97735">
      <w:r>
        <w:separator/>
      </w:r>
    </w:p>
  </w:endnote>
  <w:endnote w:type="continuationSeparator" w:id="0">
    <w:p w14:paraId="334C817A" w14:textId="77777777" w:rsidR="00133F29" w:rsidRDefault="00A97735">
      <w:r>
        <w:continuationSeparator/>
      </w:r>
    </w:p>
  </w:endnote>
  <w:endnote w:id="1">
    <w:p w14:paraId="26244188" w14:textId="77777777" w:rsidR="00133F29" w:rsidRDefault="00A97735">
      <w:pPr>
        <w:pStyle w:val="EndnoteText"/>
      </w:pPr>
      <w:r>
        <w:endnoteRef/>
      </w:r>
      <w:r>
        <w:t>. Penal Law § 130.10(3).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C03F9" w14:textId="77777777" w:rsidR="00133F29" w:rsidRDefault="00A97735">
    <w:pPr>
      <w:framePr w:w="7920" w:h="280" w:hRule="exact" w:wrap="notBeside" w:vAnchor="page" w:hAnchor="text" w:y="14400"/>
      <w:widowControl w:val="0"/>
      <w:spacing w:line="0" w:lineRule="atLeast"/>
      <w:jc w:val="center"/>
      <w:rPr>
        <w:vanish/>
      </w:rPr>
    </w:pPr>
    <w:r>
      <w:pgNum/>
    </w:r>
  </w:p>
  <w:p w14:paraId="1F314D49" w14:textId="77777777" w:rsidR="00133F29" w:rsidRDefault="00133F29">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C1C0D" w14:textId="77777777" w:rsidR="00133F29" w:rsidRDefault="00A97735">
    <w:pPr>
      <w:framePr w:w="7920" w:h="280" w:hRule="exact" w:wrap="notBeside" w:vAnchor="page" w:hAnchor="text" w:y="14400"/>
      <w:widowControl w:val="0"/>
      <w:jc w:val="center"/>
      <w:rPr>
        <w:vanish/>
      </w:rPr>
    </w:pPr>
    <w:r>
      <w:pgNum/>
    </w:r>
  </w:p>
  <w:p w14:paraId="5E7D0287" w14:textId="77777777" w:rsidR="00133F29" w:rsidRDefault="00133F29">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9D4A1" w14:textId="77777777" w:rsidR="00133F29" w:rsidRDefault="00A97735">
      <w:r>
        <w:separator/>
      </w:r>
    </w:p>
  </w:footnote>
  <w:footnote w:type="continuationSeparator" w:id="0">
    <w:p w14:paraId="27772989" w14:textId="77777777" w:rsidR="00133F29" w:rsidRDefault="00A97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4914B" w14:textId="77777777" w:rsidR="00133F29" w:rsidRDefault="00133F29">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44C60" w14:textId="77777777" w:rsidR="00133F29" w:rsidRDefault="00133F29">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7735"/>
    <w:rsid w:val="00133F29"/>
    <w:rsid w:val="003C279E"/>
    <w:rsid w:val="003C2B0B"/>
    <w:rsid w:val="004A7B53"/>
    <w:rsid w:val="005F45F6"/>
    <w:rsid w:val="00A85872"/>
    <w:rsid w:val="00A97735"/>
    <w:rsid w:val="00C75CE7"/>
    <w:rsid w:val="00D51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2CC342"/>
  <w15:chartTrackingRefBased/>
  <w15:docId w15:val="{E10CAD30-6B52-43B6-AC6F-05C6F024F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chnical1">
    <w:name w:val="Technical[1]"/>
    <w:basedOn w:val="DefaultParagraphFont"/>
    <w:rPr>
      <w:b/>
      <w:sz w:val="36"/>
    </w:rPr>
  </w:style>
  <w:style w:type="character" w:customStyle="1" w:styleId="Technical2">
    <w:name w:val="Technical[2]"/>
    <w:basedOn w:val="DefaultParagraphFont"/>
    <w:rPr>
      <w:b/>
      <w:u w:val="single"/>
    </w:rPr>
  </w:style>
  <w:style w:type="character" w:customStyle="1" w:styleId="Technical3">
    <w:name w:val="Technical[3]"/>
    <w:basedOn w:val="DefaultParagraphFont"/>
    <w:rPr>
      <w:b/>
    </w:rPr>
  </w:style>
  <w:style w:type="character" w:customStyle="1" w:styleId="Technical4">
    <w:name w:val="Technical[4]"/>
    <w:basedOn w:val="DefaultParagraphFont"/>
    <w:rPr>
      <w:b/>
    </w:rPr>
  </w:style>
  <w:style w:type="character" w:customStyle="1" w:styleId="Technical5">
    <w:name w:val="Technical[5]"/>
    <w:basedOn w:val="DefaultParagraphFont"/>
    <w:rPr>
      <w:b/>
    </w:rPr>
  </w:style>
  <w:style w:type="character" w:customStyle="1" w:styleId="Technical6">
    <w:name w:val="Technical[6]"/>
    <w:basedOn w:val="DefaultParagraphFont"/>
    <w:rPr>
      <w:b/>
    </w:rPr>
  </w:style>
  <w:style w:type="character" w:customStyle="1" w:styleId="Technical7">
    <w:name w:val="Technical[7]"/>
    <w:basedOn w:val="DefaultParagraphFont"/>
    <w:rPr>
      <w:b/>
    </w:rPr>
  </w:style>
  <w:style w:type="character" w:customStyle="1" w:styleId="Technical8">
    <w:name w:val="Technical[8]"/>
    <w:basedOn w:val="DefaultParagraphFont"/>
    <w:rPr>
      <w:b/>
    </w:rPr>
  </w:style>
  <w:style w:type="paragraph" w:customStyle="1" w:styleId="Level9">
    <w:name w:val="Level 9"/>
    <w:basedOn w:val="Normal"/>
    <w:pPr>
      <w:widowControl w:val="0"/>
    </w:pPr>
    <w:rPr>
      <w:b/>
    </w:rPr>
  </w:style>
  <w:style w:type="character" w:customStyle="1" w:styleId="Document1">
    <w:name w:val="Document[1]"/>
    <w:basedOn w:val="DefaultParagraphFont"/>
    <w:rPr>
      <w:b/>
      <w:sz w:val="36"/>
    </w:rPr>
  </w:style>
  <w:style w:type="character" w:customStyle="1" w:styleId="Document2">
    <w:name w:val="Document[2]"/>
    <w:basedOn w:val="DefaultParagraphFont"/>
    <w:rPr>
      <w:b/>
      <w:u w:val="single"/>
    </w:rPr>
  </w:style>
  <w:style w:type="character" w:customStyle="1" w:styleId="Document3">
    <w:name w:val="Document[3]"/>
    <w:basedOn w:val="DefaultParagraphFont"/>
    <w:rPr>
      <w:b/>
    </w:rPr>
  </w:style>
  <w:style w:type="character" w:customStyle="1" w:styleId="Document4">
    <w:name w:val="Document[4]"/>
    <w:basedOn w:val="DefaultParagraphFont"/>
    <w:rPr>
      <w:b/>
      <w:i/>
    </w:rPr>
  </w:style>
  <w:style w:type="character" w:customStyle="1" w:styleId="Document5">
    <w:name w:val="Document[5]"/>
    <w:basedOn w:val="DefaultParagraphFont"/>
  </w:style>
  <w:style w:type="character" w:customStyle="1" w:styleId="Document6">
    <w:name w:val="Document[6]"/>
    <w:basedOn w:val="DefaultParagraphFont"/>
  </w:style>
  <w:style w:type="character" w:customStyle="1" w:styleId="Document7">
    <w:name w:val="Document[7]"/>
    <w:basedOn w:val="DefaultParagraphFont"/>
  </w:style>
  <w:style w:type="character" w:customStyle="1" w:styleId="Document8">
    <w:name w:val="Document[8]"/>
    <w:basedOn w:val="DefaultParagraphFont"/>
  </w:style>
  <w:style w:type="character" w:customStyle="1" w:styleId="RightPar1">
    <w:name w:val="Right Par[1]"/>
    <w:basedOn w:val="DefaultParagraphFont"/>
  </w:style>
  <w:style w:type="character" w:customStyle="1" w:styleId="RightPar2">
    <w:name w:val="Right Par[2]"/>
    <w:basedOn w:val="DefaultParagraphFont"/>
  </w:style>
  <w:style w:type="character" w:customStyle="1" w:styleId="RightPar3">
    <w:name w:val="Right Par[3]"/>
    <w:basedOn w:val="DefaultParagraphFont"/>
  </w:style>
  <w:style w:type="character" w:customStyle="1" w:styleId="RightPar4">
    <w:name w:val="Right Par[4]"/>
    <w:basedOn w:val="DefaultParagraphFont"/>
  </w:style>
  <w:style w:type="character" w:customStyle="1" w:styleId="RightPar5">
    <w:name w:val="Right Par[5]"/>
    <w:basedOn w:val="DefaultParagraphFont"/>
  </w:style>
  <w:style w:type="character" w:customStyle="1" w:styleId="RightPar6">
    <w:name w:val="Right Par[6]"/>
    <w:basedOn w:val="DefaultParagraphFont"/>
  </w:style>
  <w:style w:type="character" w:customStyle="1" w:styleId="RightPar7">
    <w:name w:val="Right Par[7]"/>
    <w:basedOn w:val="DefaultParagraphFont"/>
  </w:style>
  <w:style w:type="character" w:customStyle="1" w:styleId="RightPar8">
    <w:name w:val="Right Par[8]"/>
    <w:basedOn w:val="DefaultParagraphFont"/>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character" w:customStyle="1" w:styleId="Heading">
    <w:name w:val="Heading"/>
    <w:basedOn w:val="DefaultParagraphFont"/>
    <w:rPr>
      <w:b/>
      <w:sz w:val="29"/>
    </w:rPr>
  </w:style>
  <w:style w:type="character" w:customStyle="1" w:styleId="RightPar">
    <w:name w:val="Right Par"/>
    <w:basedOn w:val="DefaultParagraphFont"/>
  </w:style>
  <w:style w:type="character" w:customStyle="1" w:styleId="Bibliogrphy">
    <w:name w:val="Bibliogrphy"/>
    <w:basedOn w:val="DefaultParagraphFont"/>
  </w:style>
  <w:style w:type="character" w:customStyle="1" w:styleId="Subheading">
    <w:name w:val="Subheading"/>
    <w:basedOn w:val="DefaultParagraphFont"/>
    <w:rPr>
      <w:b/>
    </w:rPr>
  </w:style>
  <w:style w:type="character" w:customStyle="1" w:styleId="Pleading">
    <w:name w:val="Pleading"/>
    <w:basedOn w:val="DefaultParagraphFont"/>
  </w:style>
  <w:style w:type="character" w:customStyle="1" w:styleId="legibletext">
    <w:name w:val="legible text"/>
    <w:basedOn w:val="DefaultParagraphFont"/>
    <w:rPr>
      <w:rFonts w:ascii="Arial" w:hAnsi="Arial"/>
      <w:sz w:val="18"/>
    </w:rPr>
  </w:style>
  <w:style w:type="character" w:customStyle="1" w:styleId="TechInit">
    <w:name w:val="Tech Init"/>
    <w:basedOn w:val="DefaultParagraphFont"/>
  </w:style>
  <w:style w:type="character" w:customStyle="1" w:styleId="DocInit">
    <w:name w:val="Doc Init"/>
    <w:basedOn w:val="DefaultParagraphFont"/>
  </w:style>
  <w:style w:type="character" w:customStyle="1" w:styleId="WPHeading2">
    <w:name w:val="WP_Heading 2"/>
    <w:basedOn w:val="DefaultParagraphFont"/>
    <w:rPr>
      <w:sz w:val="22"/>
      <w:u w:val="single"/>
    </w:rPr>
  </w:style>
  <w:style w:type="character" w:customStyle="1" w:styleId="WPHeading1">
    <w:name w:val="WP_Heading 1"/>
    <w:basedOn w:val="DefaultParagraphFont"/>
    <w:rPr>
      <w:b/>
      <w:sz w:val="27"/>
    </w:rPr>
  </w:style>
  <w:style w:type="character" w:customStyle="1" w:styleId="BulletList">
    <w:name w:val="Bullet List"/>
    <w:basedOn w:val="DefaultParagraphFont"/>
  </w:style>
  <w:style w:type="character" w:customStyle="1" w:styleId="Someof">
    <w:name w:val="Some of"/>
    <w:basedOn w:val="DefaultParagraphFont"/>
  </w:style>
  <w:style w:type="character" w:customStyle="1" w:styleId="Underourla">
    <w:name w:val="Under our la"/>
    <w:basedOn w:val="DefaultParagraphFont"/>
  </w:style>
  <w:style w:type="character" w:customStyle="1" w:styleId="Thetermuse">
    <w:name w:val="The term use"/>
    <w:basedOn w:val="DefaultParagraphFont"/>
  </w:style>
  <w:style w:type="character" w:customStyle="1" w:styleId="Inorderfor">
    <w:name w:val="In order for"/>
    <w:basedOn w:val="DefaultParagraphFont"/>
  </w:style>
  <w:style w:type="character" w:customStyle="1" w:styleId="Therefore">
    <w:name w:val="Therefore"/>
    <w:basedOn w:val="DefaultParagraphFont"/>
  </w:style>
  <w:style w:type="character" w:customStyle="1" w:styleId="Ontheother">
    <w:name w:val="On the other"/>
    <w:basedOn w:val="DefaultParagraphFont"/>
  </w:style>
  <w:style w:type="character" w:customStyle="1" w:styleId="Thecountis">
    <w:name w:val="The count is"/>
    <w:basedOn w:val="DefaultParagraphFont"/>
    <w:rPr>
      <w:u w:val="none"/>
    </w:rPr>
  </w:style>
  <w:style w:type="character" w:customStyle="1" w:styleId="Element1">
    <w:name w:val="Element 1"/>
    <w:basedOn w:val="DefaultParagraphFont"/>
    <w:rPr>
      <w:u w:val="none"/>
    </w:rPr>
  </w:style>
  <w:style w:type="character" w:customStyle="1" w:styleId="aschargedi">
    <w:name w:val="as charged i"/>
    <w:basedOn w:val="DefaultParagraphFont"/>
    <w:rPr>
      <w:u w:val="none"/>
    </w:rPr>
  </w:style>
  <w:style w:type="paragraph" w:styleId="FootnoteText">
    <w:name w:val="footnote text"/>
    <w:basedOn w:val="Normal"/>
    <w:semiHidden/>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jc w:val="both"/>
    </w:pPr>
    <w:rPr>
      <w:rFonts w:ascii="Arial" w:hAnsi="Arial"/>
      <w:sz w:val="28"/>
    </w:rPr>
  </w:style>
  <w:style w:type="character" w:styleId="EndnoteReference">
    <w:name w:val="endnote reference"/>
    <w:basedOn w:val="DefaultParagraphFont"/>
    <w:semiHidden/>
    <w:rPr>
      <w:vertAlign w:val="superscript"/>
    </w:rPr>
  </w:style>
  <w:style w:type="paragraph" w:styleId="EndnoteText">
    <w:name w:val="endnote text"/>
    <w:basedOn w:val="Normal"/>
    <w:semiHidden/>
    <w:pPr>
      <w:widowControl w:val="0"/>
      <w:jc w:val="both"/>
    </w:pPr>
    <w:rPr>
      <w:rFonts w:ascii="Arial" w:hAnsi="Arial"/>
    </w:rPr>
  </w:style>
  <w:style w:type="character" w:styleId="FootnoteReference">
    <w:name w:val="footnote reference"/>
    <w:basedOn w:val="DefaultParagraphFont"/>
    <w:semiHidden/>
    <w:rPr>
      <w:vertAlign w:val="superscript"/>
    </w:rPr>
  </w:style>
  <w:style w:type="character" w:styleId="Hyperlink">
    <w:name w:val="Hyperlink"/>
    <w:basedOn w:val="DefaultParagraphFont"/>
    <w:uiPriority w:val="99"/>
    <w:unhideWhenUsed/>
    <w:rsid w:val="00D516CD"/>
    <w:rPr>
      <w:color w:val="0563C1" w:themeColor="hyperlink"/>
      <w:u w:val="single"/>
    </w:rPr>
  </w:style>
  <w:style w:type="character" w:styleId="UnresolvedMention">
    <w:name w:val="Unresolved Mention"/>
    <w:basedOn w:val="DefaultParagraphFont"/>
    <w:uiPriority w:val="99"/>
    <w:semiHidden/>
    <w:unhideWhenUsed/>
    <w:rsid w:val="00D516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390</Words>
  <Characters>1949</Characters>
  <Application>Microsoft Office Word</Application>
  <DocSecurity>0</DocSecurity>
  <Lines>62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William Donnino</dc:creator>
  <cp:keywords/>
  <cp:lastModifiedBy>Bill</cp:lastModifiedBy>
  <cp:revision>9</cp:revision>
  <cp:lastPrinted>2023-08-21T01:47:00Z</cp:lastPrinted>
  <dcterms:created xsi:type="dcterms:W3CDTF">2018-07-24T04:14:00Z</dcterms:created>
  <dcterms:modified xsi:type="dcterms:W3CDTF">2023-08-21T01:47:00Z</dcterms:modified>
</cp:coreProperties>
</file>