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82CA9E" w14:textId="77777777" w:rsidR="00D74FE7" w:rsidRDefault="00771EC6">
      <w:pPr>
        <w:spacing w:before="29" w:line="319" w:lineRule="exact"/>
        <w:jc w:val="center"/>
        <w:textAlignment w:val="baseline"/>
        <w:rPr>
          <w:rFonts w:ascii="Arial" w:eastAsia="Arial" w:hAnsi="Arial"/>
          <w:b/>
          <w:color w:val="000000"/>
          <w:spacing w:val="-6"/>
          <w:sz w:val="28"/>
        </w:rPr>
      </w:pPr>
      <w:r>
        <w:rPr>
          <w:rFonts w:ascii="Arial" w:eastAsia="Arial" w:hAnsi="Arial"/>
          <w:b/>
          <w:color w:val="000000"/>
          <w:spacing w:val="-6"/>
          <w:sz w:val="28"/>
        </w:rPr>
        <w:t xml:space="preserve">CORROBORATION </w:t>
      </w:r>
    </w:p>
    <w:p w14:paraId="1FCC16EF" w14:textId="645A8605" w:rsidR="00931F24" w:rsidRPr="00D74FE7" w:rsidRDefault="00D74FE7">
      <w:pPr>
        <w:spacing w:before="29" w:line="319" w:lineRule="exact"/>
        <w:jc w:val="center"/>
        <w:textAlignment w:val="baseline"/>
        <w:rPr>
          <w:rFonts w:ascii="Arial" w:eastAsia="Arial" w:hAnsi="Arial"/>
          <w:bCs/>
          <w:color w:val="000000"/>
          <w:spacing w:val="-6"/>
          <w:sz w:val="28"/>
        </w:rPr>
      </w:pPr>
      <w:r w:rsidRPr="00D74FE7">
        <w:rPr>
          <w:rFonts w:ascii="Arial" w:eastAsia="Arial" w:hAnsi="Arial"/>
          <w:bCs/>
          <w:color w:val="000000"/>
          <w:spacing w:val="-6"/>
          <w:sz w:val="28"/>
        </w:rPr>
        <w:t xml:space="preserve">Effective </w:t>
      </w:r>
      <w:r w:rsidR="00771EC6">
        <w:rPr>
          <w:rFonts w:ascii="Arial" w:eastAsia="Arial" w:hAnsi="Arial"/>
          <w:bCs/>
          <w:color w:val="000000"/>
          <w:spacing w:val="-6"/>
          <w:sz w:val="28"/>
        </w:rPr>
        <w:t>Sept 1</w:t>
      </w:r>
      <w:r w:rsidRPr="00D74FE7">
        <w:rPr>
          <w:rFonts w:ascii="Arial" w:eastAsia="Arial" w:hAnsi="Arial"/>
          <w:bCs/>
          <w:color w:val="000000"/>
          <w:spacing w:val="-6"/>
          <w:sz w:val="28"/>
        </w:rPr>
        <w:t>, 2024</w:t>
      </w:r>
      <w:r w:rsidRPr="00D74FE7">
        <w:rPr>
          <w:rFonts w:ascii="Arial" w:eastAsia="Arial" w:hAnsi="Arial"/>
          <w:bCs/>
          <w:color w:val="000000"/>
          <w:spacing w:val="-6"/>
          <w:sz w:val="28"/>
          <w:vertAlign w:val="superscript"/>
        </w:rPr>
        <w:t>1</w:t>
      </w:r>
      <w:r w:rsidRPr="00D74FE7">
        <w:rPr>
          <w:rFonts w:ascii="Arial" w:eastAsia="Arial" w:hAnsi="Arial"/>
          <w:bCs/>
          <w:color w:val="000000"/>
          <w:spacing w:val="-6"/>
          <w:sz w:val="17"/>
        </w:rPr>
        <w:t xml:space="preserve"> </w:t>
      </w:r>
    </w:p>
    <w:p w14:paraId="1FCC16F0" w14:textId="77777777" w:rsidR="00931F24" w:rsidRDefault="00771EC6" w:rsidP="00016413">
      <w:pPr>
        <w:spacing w:before="332" w:line="324" w:lineRule="exact"/>
        <w:ind w:firstLine="720"/>
        <w:jc w:val="both"/>
        <w:textAlignment w:val="baseline"/>
        <w:rPr>
          <w:rFonts w:ascii="Arial" w:eastAsia="Arial" w:hAnsi="Arial"/>
          <w:color w:val="000000"/>
          <w:sz w:val="28"/>
        </w:rPr>
      </w:pPr>
      <w:r>
        <w:rPr>
          <w:rFonts w:ascii="Arial" w:eastAsia="Arial" w:hAnsi="Arial"/>
          <w:color w:val="000000"/>
          <w:sz w:val="28"/>
        </w:rPr>
        <w:t>Under our law, a person shall not be convicted of (</w:t>
      </w:r>
      <w:r>
        <w:rPr>
          <w:rFonts w:ascii="Arial" w:eastAsia="Arial" w:hAnsi="Arial"/>
          <w:i/>
          <w:color w:val="000000"/>
          <w:sz w:val="28"/>
          <w:u w:val="single"/>
        </w:rPr>
        <w:t>specify</w:t>
      </w:r>
      <w:r>
        <w:rPr>
          <w:rFonts w:ascii="Arial" w:eastAsia="Arial" w:hAnsi="Arial"/>
          <w:color w:val="000000"/>
          <w:sz w:val="28"/>
        </w:rPr>
        <w:t>) solely on the testimony of the victim, unsupported by other evidence tending to:</w:t>
      </w:r>
    </w:p>
    <w:p w14:paraId="2B7B723B" w14:textId="77777777" w:rsidR="00CD56B9" w:rsidRDefault="00771EC6" w:rsidP="00CD56B9">
      <w:pPr>
        <w:numPr>
          <w:ilvl w:val="0"/>
          <w:numId w:val="1"/>
        </w:numPr>
        <w:tabs>
          <w:tab w:val="clear" w:pos="432"/>
          <w:tab w:val="left" w:pos="1152"/>
        </w:tabs>
        <w:spacing w:before="324" w:line="324" w:lineRule="exact"/>
        <w:ind w:firstLine="720"/>
        <w:jc w:val="both"/>
        <w:textAlignment w:val="baseline"/>
        <w:rPr>
          <w:rFonts w:ascii="Arial" w:eastAsia="Arial" w:hAnsi="Arial"/>
          <w:color w:val="000000"/>
          <w:sz w:val="28"/>
        </w:rPr>
      </w:pPr>
      <w:r>
        <w:rPr>
          <w:rFonts w:ascii="Arial" w:eastAsia="Arial" w:hAnsi="Arial"/>
          <w:color w:val="000000"/>
          <w:sz w:val="28"/>
        </w:rPr>
        <w:t xml:space="preserve">Establish that an attempt was made to engage the victim in </w:t>
      </w:r>
    </w:p>
    <w:p w14:paraId="7D89ACE9" w14:textId="4C11BDA3" w:rsidR="00282DA4" w:rsidRPr="00282DA4" w:rsidRDefault="00CD56B9" w:rsidP="00282DA4">
      <w:pPr>
        <w:tabs>
          <w:tab w:val="left" w:pos="1152"/>
        </w:tabs>
        <w:spacing w:before="100" w:beforeAutospacing="1" w:after="120" w:line="324" w:lineRule="exact"/>
        <w:ind w:left="720"/>
        <w:textAlignment w:val="baseline"/>
        <w:rPr>
          <w:rFonts w:ascii="Arial" w:eastAsia="Arial" w:hAnsi="Arial"/>
          <w:i/>
          <w:iCs/>
          <w:color w:val="00B050"/>
          <w:sz w:val="28"/>
          <w:u w:val="single"/>
        </w:rPr>
      </w:pPr>
      <w:r w:rsidRPr="00282DA4">
        <w:rPr>
          <w:rFonts w:ascii="Arial" w:eastAsia="Arial" w:hAnsi="Arial"/>
          <w:i/>
          <w:iCs/>
          <w:color w:val="00B050"/>
          <w:sz w:val="28"/>
          <w:u w:val="single"/>
        </w:rPr>
        <w:t xml:space="preserve">Select </w:t>
      </w:r>
      <w:r w:rsidR="00CC2743" w:rsidRPr="00282DA4">
        <w:rPr>
          <w:rFonts w:ascii="Arial" w:eastAsia="Arial" w:hAnsi="Arial"/>
          <w:i/>
          <w:iCs/>
          <w:color w:val="00B050"/>
          <w:sz w:val="28"/>
          <w:u w:val="single"/>
        </w:rPr>
        <w:t>appropriate alternative(s):</w:t>
      </w:r>
    </w:p>
    <w:p w14:paraId="2E274288" w14:textId="0E9F3D22" w:rsidR="00CC2743" w:rsidRPr="00282DA4" w:rsidRDefault="00282DA4" w:rsidP="00282DA4">
      <w:pPr>
        <w:pStyle w:val="NoSpacing"/>
        <w:ind w:left="720"/>
        <w:rPr>
          <w:rFonts w:ascii="Arial" w:hAnsi="Arial" w:cs="Arial"/>
          <w:color w:val="00B050"/>
          <w:sz w:val="28"/>
          <w:szCs w:val="28"/>
        </w:rPr>
      </w:pPr>
      <w:r w:rsidRPr="00282DA4">
        <w:rPr>
          <w:rFonts w:ascii="Arial" w:hAnsi="Arial" w:cs="Arial"/>
          <w:color w:val="00B050"/>
          <w:sz w:val="28"/>
          <w:szCs w:val="28"/>
        </w:rPr>
        <w:t>v</w:t>
      </w:r>
      <w:r w:rsidR="00CC2743" w:rsidRPr="00282DA4">
        <w:rPr>
          <w:rFonts w:ascii="Arial" w:hAnsi="Arial" w:cs="Arial"/>
          <w:color w:val="00B050"/>
          <w:sz w:val="28"/>
          <w:szCs w:val="28"/>
        </w:rPr>
        <w:t>aginal sexual contact</w:t>
      </w:r>
      <w:r w:rsidR="00846F9B">
        <w:rPr>
          <w:rFonts w:ascii="Arial" w:hAnsi="Arial" w:cs="Arial"/>
          <w:color w:val="00B050"/>
          <w:sz w:val="28"/>
          <w:szCs w:val="28"/>
        </w:rPr>
        <w:t xml:space="preserve"> </w:t>
      </w:r>
      <w:bookmarkStart w:id="0" w:name="_Hlk141014276"/>
      <w:r w:rsidR="006A27C3">
        <w:rPr>
          <w:rFonts w:ascii="Arial" w:hAnsi="Arial" w:cs="Arial"/>
          <w:color w:val="00B050"/>
          <w:sz w:val="28"/>
          <w:szCs w:val="28"/>
        </w:rPr>
        <w:t>[or]</w:t>
      </w:r>
      <w:bookmarkEnd w:id="0"/>
    </w:p>
    <w:p w14:paraId="32DC0ED4" w14:textId="1448027A" w:rsidR="00282DA4" w:rsidRPr="00282DA4" w:rsidRDefault="00771EC6" w:rsidP="00282DA4">
      <w:pPr>
        <w:pStyle w:val="NoSpacing"/>
        <w:ind w:left="720"/>
        <w:rPr>
          <w:rFonts w:ascii="Arial" w:hAnsi="Arial" w:cs="Arial"/>
          <w:color w:val="000000"/>
          <w:sz w:val="28"/>
          <w:szCs w:val="28"/>
        </w:rPr>
      </w:pPr>
      <w:r w:rsidRPr="00282DA4">
        <w:rPr>
          <w:rFonts w:ascii="Arial" w:hAnsi="Arial" w:cs="Arial"/>
          <w:sz w:val="28"/>
          <w:szCs w:val="28"/>
        </w:rPr>
        <w:t>oral</w:t>
      </w:r>
      <w:r w:rsidRPr="00282DA4">
        <w:rPr>
          <w:rFonts w:ascii="Arial" w:hAnsi="Arial" w:cs="Arial"/>
          <w:color w:val="000000"/>
          <w:sz w:val="28"/>
          <w:szCs w:val="28"/>
        </w:rPr>
        <w:t xml:space="preserve"> sexual </w:t>
      </w:r>
      <w:r w:rsidRPr="00282DA4">
        <w:rPr>
          <w:rFonts w:ascii="Arial" w:hAnsi="Arial" w:cs="Arial"/>
          <w:color w:val="00B050"/>
          <w:sz w:val="28"/>
          <w:szCs w:val="28"/>
        </w:rPr>
        <w:t>con</w:t>
      </w:r>
      <w:r w:rsidR="00CC2743" w:rsidRPr="00282DA4">
        <w:rPr>
          <w:rFonts w:ascii="Arial" w:hAnsi="Arial" w:cs="Arial"/>
          <w:color w:val="00B050"/>
          <w:sz w:val="28"/>
          <w:szCs w:val="28"/>
        </w:rPr>
        <w:t>tact</w:t>
      </w:r>
      <w:r w:rsidR="006A27C3">
        <w:rPr>
          <w:rFonts w:ascii="Arial" w:hAnsi="Arial" w:cs="Arial"/>
          <w:color w:val="00B050"/>
          <w:sz w:val="28"/>
          <w:szCs w:val="28"/>
        </w:rPr>
        <w:t xml:space="preserve"> [or]</w:t>
      </w:r>
    </w:p>
    <w:p w14:paraId="488DC8E4" w14:textId="782C276E" w:rsidR="00282DA4" w:rsidRPr="00282DA4" w:rsidRDefault="00771EC6" w:rsidP="00282DA4">
      <w:pPr>
        <w:pStyle w:val="NoSpacing"/>
        <w:ind w:left="720"/>
        <w:rPr>
          <w:rFonts w:ascii="Arial" w:hAnsi="Arial" w:cs="Arial"/>
          <w:color w:val="000000"/>
          <w:sz w:val="28"/>
          <w:szCs w:val="28"/>
        </w:rPr>
      </w:pPr>
      <w:r w:rsidRPr="00282DA4">
        <w:rPr>
          <w:rFonts w:ascii="Arial" w:hAnsi="Arial" w:cs="Arial"/>
          <w:color w:val="000000"/>
          <w:sz w:val="28"/>
          <w:szCs w:val="28"/>
        </w:rPr>
        <w:t xml:space="preserve">anal sexual </w:t>
      </w:r>
      <w:r w:rsidRPr="00282DA4">
        <w:rPr>
          <w:rFonts w:ascii="Arial" w:hAnsi="Arial" w:cs="Arial"/>
          <w:color w:val="00B050"/>
          <w:sz w:val="28"/>
          <w:szCs w:val="28"/>
        </w:rPr>
        <w:t>con</w:t>
      </w:r>
      <w:r w:rsidR="00282DA4" w:rsidRPr="00282DA4">
        <w:rPr>
          <w:rFonts w:ascii="Arial" w:hAnsi="Arial" w:cs="Arial"/>
          <w:color w:val="00B050"/>
          <w:sz w:val="28"/>
          <w:szCs w:val="28"/>
        </w:rPr>
        <w:t>tact</w:t>
      </w:r>
      <w:r w:rsidRPr="00282DA4">
        <w:rPr>
          <w:rFonts w:ascii="Arial" w:hAnsi="Arial" w:cs="Arial"/>
          <w:color w:val="00B050"/>
          <w:sz w:val="28"/>
          <w:szCs w:val="28"/>
        </w:rPr>
        <w:t xml:space="preserve"> </w:t>
      </w:r>
      <w:r w:rsidR="006A27C3">
        <w:rPr>
          <w:rFonts w:ascii="Arial" w:hAnsi="Arial" w:cs="Arial"/>
          <w:color w:val="00B050"/>
          <w:sz w:val="28"/>
          <w:szCs w:val="28"/>
        </w:rPr>
        <w:t>[or]</w:t>
      </w:r>
    </w:p>
    <w:p w14:paraId="49126014" w14:textId="597B9C4F" w:rsidR="00282DA4" w:rsidRPr="00282DA4" w:rsidRDefault="00771EC6" w:rsidP="00282DA4">
      <w:pPr>
        <w:pStyle w:val="NoSpacing"/>
        <w:ind w:left="720"/>
        <w:rPr>
          <w:rFonts w:ascii="Arial" w:hAnsi="Arial" w:cs="Arial"/>
          <w:color w:val="000000"/>
          <w:sz w:val="28"/>
          <w:szCs w:val="28"/>
        </w:rPr>
      </w:pPr>
      <w:r w:rsidRPr="00282DA4">
        <w:rPr>
          <w:rFonts w:ascii="Arial" w:hAnsi="Arial" w:cs="Arial"/>
          <w:color w:val="000000"/>
          <w:sz w:val="28"/>
          <w:szCs w:val="28"/>
        </w:rPr>
        <w:t>sexual contact</w:t>
      </w:r>
    </w:p>
    <w:p w14:paraId="4672A05C" w14:textId="77777777" w:rsidR="00282DA4" w:rsidRDefault="00282DA4" w:rsidP="00282DA4"/>
    <w:p w14:paraId="1FCC16F1" w14:textId="479F5452" w:rsidR="00931F24" w:rsidRPr="00282DA4" w:rsidRDefault="00771EC6" w:rsidP="00282DA4">
      <w:pPr>
        <w:rPr>
          <w:rFonts w:ascii="Arial" w:hAnsi="Arial" w:cs="Arial"/>
          <w:sz w:val="28"/>
          <w:szCs w:val="28"/>
        </w:rPr>
      </w:pPr>
      <w:r w:rsidRPr="00282DA4">
        <w:rPr>
          <w:rFonts w:ascii="Arial" w:hAnsi="Arial" w:cs="Arial"/>
          <w:sz w:val="28"/>
          <w:szCs w:val="28"/>
        </w:rPr>
        <w:t>at the time of the occurrence; and</w:t>
      </w:r>
    </w:p>
    <w:p w14:paraId="46573364" w14:textId="70A9699B" w:rsidR="00016413" w:rsidRDefault="00771EC6" w:rsidP="00016413">
      <w:pPr>
        <w:numPr>
          <w:ilvl w:val="0"/>
          <w:numId w:val="1"/>
        </w:numPr>
        <w:tabs>
          <w:tab w:val="clear" w:pos="432"/>
          <w:tab w:val="left" w:pos="1152"/>
        </w:tabs>
        <w:spacing w:before="322" w:line="326" w:lineRule="exact"/>
        <w:ind w:firstLine="720"/>
        <w:jc w:val="both"/>
        <w:textAlignment w:val="baseline"/>
        <w:rPr>
          <w:rFonts w:ascii="Arial" w:eastAsia="Arial" w:hAnsi="Arial"/>
          <w:color w:val="000000"/>
          <w:sz w:val="28"/>
        </w:rPr>
      </w:pPr>
      <w:r>
        <w:rPr>
          <w:rFonts w:ascii="Arial" w:eastAsia="Arial" w:hAnsi="Arial"/>
          <w:color w:val="000000"/>
          <w:sz w:val="28"/>
        </w:rPr>
        <w:t xml:space="preserve">Connect the defendant with </w:t>
      </w:r>
      <w:r>
        <w:rPr>
          <w:rFonts w:ascii="Arial" w:eastAsia="Arial" w:hAnsi="Arial"/>
          <w:color w:val="000000"/>
          <w:sz w:val="28"/>
        </w:rPr>
        <w:t>the commission of the offense or attempted offense.</w:t>
      </w:r>
    </w:p>
    <w:p w14:paraId="3479CCD7" w14:textId="77777777" w:rsidR="00016413" w:rsidRDefault="00016413" w:rsidP="00016413">
      <w:pPr>
        <w:tabs>
          <w:tab w:val="left" w:pos="1152"/>
        </w:tabs>
        <w:spacing w:before="322" w:line="326" w:lineRule="exact"/>
        <w:ind w:left="720"/>
        <w:jc w:val="both"/>
        <w:textAlignment w:val="baseline"/>
        <w:rPr>
          <w:rFonts w:ascii="Arial" w:eastAsia="Arial" w:hAnsi="Arial"/>
          <w:color w:val="000000"/>
          <w:sz w:val="28"/>
        </w:rPr>
      </w:pPr>
    </w:p>
    <w:p w14:paraId="7D8757C4" w14:textId="46FEB876" w:rsidR="00016413" w:rsidRPr="00016413" w:rsidRDefault="00016413" w:rsidP="00016413">
      <w:pPr>
        <w:tabs>
          <w:tab w:val="left" w:pos="1152"/>
        </w:tabs>
        <w:spacing w:before="322" w:line="326" w:lineRule="exact"/>
        <w:ind w:left="720"/>
        <w:jc w:val="both"/>
        <w:textAlignment w:val="baseline"/>
        <w:rPr>
          <w:rFonts w:ascii="Arial" w:eastAsia="Arial" w:hAnsi="Arial"/>
          <w:color w:val="000000"/>
          <w:sz w:val="28"/>
        </w:rPr>
      </w:pPr>
      <w:r>
        <w:rPr>
          <w:rFonts w:ascii="Arial" w:eastAsia="Arial" w:hAnsi="Arial"/>
          <w:color w:val="000000"/>
          <w:sz w:val="28"/>
        </w:rPr>
        <w:t>————————</w:t>
      </w:r>
    </w:p>
    <w:p w14:paraId="1FCC16F4" w14:textId="0732D423" w:rsidR="00931F24" w:rsidRPr="0092547C" w:rsidRDefault="00771EC6" w:rsidP="0092547C">
      <w:pPr>
        <w:pStyle w:val="ListParagraph"/>
        <w:numPr>
          <w:ilvl w:val="0"/>
          <w:numId w:val="2"/>
        </w:numPr>
        <w:tabs>
          <w:tab w:val="left" w:pos="432"/>
        </w:tabs>
        <w:spacing w:before="1" w:line="276" w:lineRule="exact"/>
        <w:jc w:val="both"/>
        <w:textAlignment w:val="baseline"/>
        <w:rPr>
          <w:rFonts w:ascii="Arial" w:eastAsia="Arial" w:hAnsi="Arial"/>
          <w:color w:val="000000"/>
        </w:rPr>
      </w:pPr>
      <w:r w:rsidRPr="0092547C">
        <w:rPr>
          <w:rFonts w:ascii="Arial" w:eastAsia="Arial" w:hAnsi="Arial"/>
          <w:color w:val="000000"/>
        </w:rPr>
        <w:t xml:space="preserve">Penal Law § 130.16 provides that such corroboration shall be required for “any offense defined in this article of which lack of consent is an element but results solely from incapacity to </w:t>
      </w:r>
      <w:r w:rsidRPr="0092547C">
        <w:rPr>
          <w:rFonts w:ascii="Arial" w:eastAsia="Arial" w:hAnsi="Arial"/>
          <w:color w:val="000000"/>
        </w:rPr>
        <w:t>consent because of the victim’s mental defect, or mental incapacity, or an attempt to commit the same.”</w:t>
      </w:r>
    </w:p>
    <w:p w14:paraId="72D371F0" w14:textId="77777777" w:rsidR="00601AA7" w:rsidRPr="0092547C" w:rsidRDefault="00601AA7" w:rsidP="00601AA7">
      <w:pPr>
        <w:pStyle w:val="ListParagraph"/>
        <w:tabs>
          <w:tab w:val="left" w:pos="360"/>
          <w:tab w:val="left" w:pos="432"/>
        </w:tabs>
        <w:spacing w:before="1" w:line="276" w:lineRule="exact"/>
        <w:textAlignment w:val="baseline"/>
        <w:rPr>
          <w:rFonts w:ascii="Arial" w:eastAsia="Arial" w:hAnsi="Arial"/>
          <w:color w:val="000000"/>
        </w:rPr>
      </w:pPr>
    </w:p>
    <w:p w14:paraId="1FCC16F5" w14:textId="0BA694DD" w:rsidR="00931F24" w:rsidRPr="0092547C" w:rsidRDefault="00771EC6" w:rsidP="00CD56B9">
      <w:pPr>
        <w:pStyle w:val="ListParagraph"/>
        <w:numPr>
          <w:ilvl w:val="0"/>
          <w:numId w:val="2"/>
        </w:numPr>
        <w:tabs>
          <w:tab w:val="left" w:pos="216"/>
          <w:tab w:val="left" w:pos="288"/>
        </w:tabs>
        <w:spacing w:before="245" w:after="10508" w:line="276" w:lineRule="exact"/>
        <w:jc w:val="both"/>
        <w:textAlignment w:val="baseline"/>
        <w:rPr>
          <w:rFonts w:ascii="Arial" w:eastAsia="Arial" w:hAnsi="Arial"/>
          <w:color w:val="000000"/>
          <w:spacing w:val="-1"/>
        </w:rPr>
      </w:pPr>
      <w:r w:rsidRPr="0092547C">
        <w:rPr>
          <w:rFonts w:ascii="Arial" w:eastAsia="Arial" w:hAnsi="Arial"/>
          <w:color w:val="000000"/>
          <w:spacing w:val="-1"/>
        </w:rPr>
        <w:t>Effective November 1, 2003, the terms “oral sexual conduct” and “anal sexual conduct” were substituted for the term “deviate sexual intercourse.”</w:t>
      </w:r>
    </w:p>
    <w:p w14:paraId="56E82A03" w14:textId="77777777" w:rsidR="00601AA7" w:rsidRPr="00601AA7" w:rsidRDefault="00601AA7" w:rsidP="00601AA7">
      <w:pPr>
        <w:pStyle w:val="ListParagraph"/>
        <w:rPr>
          <w:rFonts w:ascii="Arial" w:eastAsia="Arial" w:hAnsi="Arial"/>
          <w:color w:val="000000"/>
          <w:spacing w:val="-1"/>
          <w:sz w:val="24"/>
        </w:rPr>
      </w:pPr>
    </w:p>
    <w:p w14:paraId="51E4F06B" w14:textId="51804C91" w:rsidR="00601AA7" w:rsidRPr="007318AB" w:rsidRDefault="0092547C" w:rsidP="00601AA7">
      <w:pPr>
        <w:pStyle w:val="ListParagraph"/>
        <w:numPr>
          <w:ilvl w:val="0"/>
          <w:numId w:val="2"/>
        </w:numPr>
        <w:tabs>
          <w:tab w:val="left" w:pos="216"/>
          <w:tab w:val="left" w:pos="288"/>
        </w:tabs>
        <w:spacing w:before="245" w:after="10508" w:line="276" w:lineRule="exact"/>
        <w:jc w:val="both"/>
        <w:textAlignment w:val="baseline"/>
        <w:rPr>
          <w:rFonts w:ascii="Arial" w:eastAsia="Arial" w:hAnsi="Arial"/>
          <w:color w:val="000000"/>
          <w:spacing w:val="-1"/>
        </w:rPr>
      </w:pPr>
      <w:r w:rsidRPr="007318AB">
        <w:rPr>
          <w:rFonts w:ascii="Arial" w:eastAsia="Arial" w:hAnsi="Arial"/>
          <w:color w:val="000000"/>
          <w:spacing w:val="-1"/>
        </w:rPr>
        <w:t xml:space="preserve">Effective January 1, 2024, </w:t>
      </w:r>
      <w:r w:rsidR="00E319E0" w:rsidRPr="007318AB">
        <w:rPr>
          <w:rFonts w:ascii="Arial" w:eastAsia="Arial" w:hAnsi="Arial"/>
          <w:color w:val="000000"/>
          <w:spacing w:val="-1"/>
        </w:rPr>
        <w:t>the term “vaginal sexual contact,”</w:t>
      </w:r>
      <w:r w:rsidR="00F16A3C" w:rsidRPr="007318AB">
        <w:rPr>
          <w:rFonts w:ascii="Arial" w:eastAsia="Arial" w:hAnsi="Arial"/>
          <w:color w:val="000000"/>
          <w:spacing w:val="-1"/>
        </w:rPr>
        <w:t xml:space="preserve"> was substituted for the term “</w:t>
      </w:r>
      <w:r w:rsidR="00E319E0" w:rsidRPr="007318AB">
        <w:rPr>
          <w:rFonts w:ascii="Arial" w:eastAsia="Arial" w:hAnsi="Arial"/>
          <w:color w:val="000000"/>
        </w:rPr>
        <w:t>sexual intercourse</w:t>
      </w:r>
      <w:r w:rsidR="00F16A3C" w:rsidRPr="007318AB">
        <w:rPr>
          <w:rFonts w:ascii="Arial" w:eastAsia="Arial" w:hAnsi="Arial"/>
          <w:color w:val="000000"/>
        </w:rPr>
        <w:t xml:space="preserve">” and the terms </w:t>
      </w:r>
      <w:r w:rsidR="00E319E0" w:rsidRPr="007318AB">
        <w:rPr>
          <w:rFonts w:ascii="Arial" w:eastAsia="Arial" w:hAnsi="Arial"/>
          <w:color w:val="000000"/>
        </w:rPr>
        <w:t xml:space="preserve"> oral </w:t>
      </w:r>
      <w:r w:rsidR="00F16A3C" w:rsidRPr="007318AB">
        <w:rPr>
          <w:rFonts w:ascii="Arial" w:eastAsia="Arial" w:hAnsi="Arial"/>
          <w:color w:val="000000"/>
        </w:rPr>
        <w:t xml:space="preserve">and </w:t>
      </w:r>
      <w:r w:rsidR="00E319E0" w:rsidRPr="007318AB">
        <w:rPr>
          <w:rFonts w:ascii="Arial" w:eastAsia="Arial" w:hAnsi="Arial"/>
          <w:color w:val="000000"/>
        </w:rPr>
        <w:t xml:space="preserve">sexual </w:t>
      </w:r>
      <w:r w:rsidR="00A93874" w:rsidRPr="007318AB">
        <w:rPr>
          <w:rFonts w:ascii="Arial" w:eastAsia="Arial" w:hAnsi="Arial"/>
          <w:color w:val="000000"/>
        </w:rPr>
        <w:t>“contact” was substituted for oral and anal “</w:t>
      </w:r>
      <w:r w:rsidR="00E319E0" w:rsidRPr="007318AB">
        <w:rPr>
          <w:rFonts w:ascii="Arial" w:eastAsia="Arial" w:hAnsi="Arial"/>
          <w:color w:val="000000"/>
        </w:rPr>
        <w:t>conduct</w:t>
      </w:r>
      <w:r w:rsidR="00A93874" w:rsidRPr="007318AB">
        <w:rPr>
          <w:rFonts w:ascii="Arial" w:eastAsia="Arial" w:hAnsi="Arial"/>
          <w:color w:val="000000"/>
        </w:rPr>
        <w:t>.”</w:t>
      </w:r>
    </w:p>
    <w:p w14:paraId="4DD8B1ED" w14:textId="77777777" w:rsidR="00931F24" w:rsidRDefault="00931F24">
      <w:pPr>
        <w:spacing w:before="245" w:after="10508" w:line="276" w:lineRule="exact"/>
      </w:pPr>
    </w:p>
    <w:p w14:paraId="1FCC16F6" w14:textId="77777777" w:rsidR="00601AA7" w:rsidRDefault="00601AA7">
      <w:pPr>
        <w:spacing w:before="245" w:after="10508" w:line="276" w:lineRule="exact"/>
        <w:sectPr w:rsidR="00601AA7">
          <w:pgSz w:w="12240" w:h="15840"/>
          <w:pgMar w:top="1440" w:right="2164" w:bottom="1024" w:left="2136" w:header="720" w:footer="720" w:gutter="0"/>
          <w:cols w:space="720"/>
        </w:sectPr>
      </w:pPr>
    </w:p>
    <w:p w14:paraId="1FCC16F7" w14:textId="77777777" w:rsidR="00931F24" w:rsidRDefault="00771EC6">
      <w:pPr>
        <w:spacing w:line="265" w:lineRule="exact"/>
        <w:jc w:val="center"/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2</w:t>
      </w:r>
    </w:p>
    <w:sectPr w:rsidR="00931F24">
      <w:type w:val="continuous"/>
      <w:pgSz w:w="12240" w:h="15840"/>
      <w:pgMar w:top="1440" w:right="2152" w:bottom="1024" w:left="214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Arial">
    <w:charset w:val="00"/>
    <w:pitch w:val="variable"/>
    <w:family w:val="swiss"/>
    <w:panose1 w:val="02020603050405020304"/>
  </w:font>
  <w:font w:name="Times New Roman">
    <w:charset w:val="00"/>
    <w:pitch w:val="variable"/>
    <w:family w:val="roman"/>
    <w:panose1 w:val="02020603050405020304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D84654"/>
    <w:multiLevelType w:val="multilevel"/>
    <w:tmpl w:val="94588FD4"/>
    <w:lvl w:ilvl="0">
      <w:numFmt w:val="decimal"/>
      <w:lvlText w:val="%1."/>
      <w:lvlJc w:val="left"/>
      <w:pPr>
        <w:tabs>
          <w:tab w:val="left" w:pos="216"/>
        </w:tabs>
      </w:pPr>
      <w:rPr>
        <w:rFonts w:ascii="Arial" w:eastAsia="Arial" w:hAnsi="Arial"/>
        <w:color w:val="000000"/>
        <w:spacing w:val="-1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076343E"/>
    <w:multiLevelType w:val="multilevel"/>
    <w:tmpl w:val="1A9885FA"/>
    <w:lvl w:ilvl="0">
      <w:start w:val="1"/>
      <w:numFmt w:val="decimal"/>
      <w:lvlText w:val="%1."/>
      <w:lvlJc w:val="left"/>
      <w:pPr>
        <w:tabs>
          <w:tab w:val="left" w:pos="360"/>
        </w:tabs>
      </w:pPr>
      <w:rPr>
        <w:rFonts w:ascii="Arial" w:eastAsia="Arial" w:hAnsi="Arial" w:cs="Times New Roman"/>
        <w:color w:val="000000"/>
        <w:spacing w:val="0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3973EAE"/>
    <w:multiLevelType w:val="multilevel"/>
    <w:tmpl w:val="8EDAD308"/>
    <w:lvl w:ilvl="0">
      <w:start w:val="1"/>
      <w:numFmt w:val="decimal"/>
      <w:lvlText w:val="(%1)"/>
      <w:lvlJc w:val="left"/>
      <w:pPr>
        <w:tabs>
          <w:tab w:val="left" w:pos="432"/>
        </w:tabs>
      </w:pPr>
      <w:rPr>
        <w:rFonts w:ascii="Arial" w:eastAsia="Arial" w:hAnsi="Arial"/>
        <w:color w:val="000000"/>
        <w:spacing w:val="0"/>
        <w:w w:val="100"/>
        <w:sz w:val="28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816915714">
    <w:abstractNumId w:val="2"/>
  </w:num>
  <w:num w:numId="2" w16cid:durableId="1206328360">
    <w:abstractNumId w:val="1"/>
  </w:num>
  <w:num w:numId="3" w16cid:durableId="4319015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6"/>
  <w:defaultTabStop w:val="720"/>
  <w:characterSpacingControl w:val="doNotCompress"/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F24"/>
    <w:rsid w:val="00016413"/>
    <w:rsid w:val="00282DA4"/>
    <w:rsid w:val="00601AA7"/>
    <w:rsid w:val="006A27C3"/>
    <w:rsid w:val="007318AB"/>
    <w:rsid w:val="00771EC6"/>
    <w:rsid w:val="007B1F7A"/>
    <w:rsid w:val="00846F9B"/>
    <w:rsid w:val="0092547C"/>
    <w:rsid w:val="00931F24"/>
    <w:rsid w:val="00A93874"/>
    <w:rsid w:val="00CC2743"/>
    <w:rsid w:val="00CD56B9"/>
    <w:rsid w:val="00D74FE7"/>
    <w:rsid w:val="00E319E0"/>
    <w:rsid w:val="00F07961"/>
    <w:rsid w:val="00F16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CC16EF"/>
  <w15:docId w15:val="{6734852E-53A1-4C95-9FF4-87C5AB7D5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1AA7"/>
    <w:pPr>
      <w:ind w:left="720"/>
      <w:contextualSpacing/>
    </w:pPr>
  </w:style>
  <w:style w:type="paragraph" w:styleId="NoSpacing">
    <w:name w:val="No Spacing"/>
    <w:uiPriority w:val="1"/>
    <w:qFormat/>
    <w:rsid w:val="00282D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fId" Type="http://schemas.openxmlformats.org/wordprocessingml/2006/fontTable" Target="fontTable0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169</Words>
  <Characters>967</Characters>
  <Application>Microsoft Office Word</Application>
  <DocSecurity>0</DocSecurity>
  <Lines>8</Lines>
  <Paragraphs>2</Paragraphs>
  <ScaleCrop>false</ScaleCrop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 Donnino</dc:creator>
  <cp:lastModifiedBy>Bill Donnino</cp:lastModifiedBy>
  <cp:revision>10</cp:revision>
  <dcterms:created xsi:type="dcterms:W3CDTF">2023-07-23T18:10:00Z</dcterms:created>
  <dcterms:modified xsi:type="dcterms:W3CDTF">2024-01-15T18:51:00Z</dcterms:modified>
</cp:coreProperties>
</file>