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TRESPASS IN THE FIRST DEGREE</w:t>
        <w:br/>
      </w:r>
      <w:r>
        <w:rPr>
          <w:rFonts w:ascii="Arial" w:hAnsi="Arial" w:eastAsia="Arial"/>
          <w:b w:val="true"/>
          <w:color w:val="000000"/>
          <w:spacing w:val="0"/>
          <w:w w:val="100"/>
          <w:sz w:val="28"/>
          <w:vertAlign w:val="baseline"/>
          <w:lang w:val="en-US"/>
        </w:rPr>
        <w:t xml:space="preserve">(Weaon Possessed by Another Participant)</w:t>
        <w:br/>
      </w:r>
      <w:r>
        <w:rPr>
          <w:rFonts w:ascii="Arial" w:hAnsi="Arial" w:eastAsia="Arial"/>
          <w:b w:val="true"/>
          <w:color w:val="000000"/>
          <w:spacing w:val="0"/>
          <w:w w:val="100"/>
          <w:sz w:val="28"/>
          <w:vertAlign w:val="baseline"/>
          <w:lang w:val="en-US"/>
        </w:rPr>
        <w:t xml:space="preserve">Penal Law § 140.17(3)</w:t>
        <w:br/>
      </w:r>
      <w:r>
        <w:rPr>
          <w:rFonts w:ascii="Arial" w:hAnsi="Arial" w:eastAsia="Arial"/>
          <w:b w:val="true"/>
          <w:color w:val="000000"/>
          <w:spacing w:val="0"/>
          <w:w w:val="100"/>
          <w:sz w:val="28"/>
          <w:vertAlign w:val="baseline"/>
          <w:lang w:val="en-US"/>
        </w:rPr>
        <w:t xml:space="preserve">(Committed on or after Sept. 1, 1969)</w:t>
        <w:br/>
      </w:r>
      <w:r>
        <w:rPr>
          <w:rFonts w:ascii="Arial" w:hAnsi="Arial" w:eastAsia="Arial"/>
          <w:b w:val="true"/>
          <w:color w:val="000000"/>
          <w:spacing w:val="0"/>
          <w:w w:val="100"/>
          <w:sz w:val="28"/>
          <w:vertAlign w:val="baseline"/>
          <w:lang w:val="en-US"/>
        </w:rPr>
        <w:t xml:space="preserve">(Revised January 2013</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9" w:after="0" w:line="323" w:lineRule="exact"/>
        <w:ind w:right="0" w:left="720" w:firstLine="0"/>
        <w:jc w:val="left"/>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The (</w:t>
      </w:r>
      <w:r>
        <w:rPr>
          <w:rFonts w:ascii="Arial" w:hAnsi="Arial" w:eastAsia="Arial"/>
          <w:i w:val="true"/>
          <w:color w:val="000000"/>
          <w:spacing w:val="-6"/>
          <w:w w:val="100"/>
          <w:sz w:val="28"/>
          <w:u w:val="single"/>
          <w:vertAlign w:val="baseline"/>
          <w:lang w:val="en-US"/>
        </w:rPr>
        <w:t xml:space="preserve">specify</w:t>
      </w:r>
      <w:r>
        <w:rPr>
          <w:rFonts w:ascii="Arial" w:hAnsi="Arial" w:eastAsia="Arial"/>
          <w:color w:val="000000"/>
          <w:spacing w:val="-6"/>
          <w:w w:val="100"/>
          <w:sz w:val="28"/>
          <w:vertAlign w:val="baseline"/>
          <w:lang w:val="en-US"/>
        </w:rPr>
        <w:t xml:space="preserve">) count is Criminal Trespass in the First Degree.</w:t>
      </w:r>
    </w:p>
    <w:p>
      <w:pPr>
        <w:pageBreakBefore w:val="false"/>
        <w:spacing w:before="328"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Trespass in the First Degree when that person knowingly enters [remains]</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r>
        <w:rPr>
          <w:rFonts w:ascii="Arial" w:hAnsi="Arial" w:eastAsia="Arial"/>
          <w:color w:val="000000"/>
          <w:spacing w:val="0"/>
          <w:w w:val="100"/>
          <w:sz w:val="28"/>
          <w:vertAlign w:val="baseline"/>
          <w:lang w:val="en-US"/>
        </w:rPr>
        <w:t xml:space="preserve">unlawfully in a building, and when, in the course of committing such crime, that person knows that another participant in the crime possesses a firearm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 rifle]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 shotgun] and also possesses or has readily accessible a quantity of ammunition which is capable of being discharged from such firearm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rifle]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shotgun].</w:t>
      </w:r>
    </w:p>
    <w:p>
      <w:pPr>
        <w:pageBreakBefore w:val="false"/>
        <w:spacing w:before="329"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0"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3"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 therein, or used as an elementary or secondary school, or an inclosed motor truck, or an inclosed motor truck trailer.</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w:t>
      </w:r>
    </w:p>
    <w:p>
      <w:pPr>
        <w:pageBreakBefore w:val="false"/>
        <w:spacing w:before="333" w:after="34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258" w:after="0" w:line="277"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8pt,545.5pt" to="252.05pt,545.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January, 2013, revision was for the purpose of expanding the definition of “unlawfully” when the trespass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238"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0"/>
          <w:w w:val="100"/>
          <w:sz w:val="24"/>
          <w:vertAlign w:val="baseline"/>
          <w:lang w:val="en-US"/>
        </w:rPr>
        <w:t xml:space="preserve">See People v Gaines</w:t>
      </w:r>
      <w:r>
        <w:rPr>
          <w:rFonts w:ascii="Arial" w:hAnsi="Arial" w:eastAsia="Arial"/>
          <w:color w:val="000000"/>
          <w:spacing w:val="0"/>
          <w:w w:val="100"/>
          <w:sz w:val="24"/>
          <w:vertAlign w:val="baseline"/>
          <w:lang w:val="en-US"/>
        </w:rPr>
        <w:t xml:space="preserve">, 74 NY2d 358 (1989).</w:t>
      </w:r>
    </w:p>
    <w:p>
      <w:pPr>
        <w:pageBreakBefore w:val="false"/>
        <w:spacing w:before="237" w:after="0"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140.00(2).</w:t>
      </w:r>
    </w:p>
    <w:p>
      <w:pPr>
        <w:sectPr>
          <w:type w:val="nextPage"/>
          <w:pgSz w:w="12240" w:h="15840" w:orient="portrait"/>
          <w:pgMar w:bottom="1004" w:top="1440" w:right="2140" w:left="2160" w:header="720" w:footer="720"/>
          <w:titlePg w:val="false"/>
          <w:textDirection w:val="lrTb"/>
        </w:sectPr>
      </w:pPr>
    </w:p>
    <w:p>
      <w:pPr>
        <w:pageBreakBefore w:val="false"/>
        <w:spacing w:before="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Where a building consists of two or more units separately secured or occupied, each unit shall be deemed both a separate building in itself and a part of the main building.</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w:t>
      </w:r>
    </w:p>
    <w:p>
      <w:pPr>
        <w:pageBreakBefore w:val="false"/>
        <w:spacing w:before="321"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UNLAWFULLY in a building when that person has no license or privilege to enter [remain] in that building.</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3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a building which he/she knowingly enters, even by invitation or permission, UNLAWFULLY enters that building.</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39" w:after="0" w:line="314"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40"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744"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252" w:after="0"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8pt,563.5pt" to="252.05pt,56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140.00(2).</w:t>
      </w:r>
    </w:p>
    <w:p>
      <w:pPr>
        <w:pageBreakBefore w:val="false"/>
        <w:spacing w:before="248"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w:t>
      </w:r>
    </w:p>
    <w:p>
      <w:pPr>
        <w:pageBreakBefore w:val="false"/>
        <w:spacing w:before="237"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footnote 1.</w:t>
      </w:r>
    </w:p>
    <w:p>
      <w:pPr>
        <w:pageBreakBefore w:val="false"/>
        <w:spacing w:before="250"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w:t>
      </w:r>
    </w:p>
    <w:p>
      <w:pPr>
        <w:pageBreakBefore w:val="false"/>
        <w:spacing w:before="244" w:after="247"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40" w:left="2160" w:header="720" w:footer="720"/>
          <w:titlePg w:val="false"/>
          <w:textDirection w:val="lrTb"/>
        </w:sectPr>
      </w:pPr>
    </w:p>
    <w:p>
      <w:pPr>
        <w:pageBreakBefore w:val="false"/>
        <w:spacing w:before="4"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KNOWINGLY enters [remains] unlawfully in a building when that person is aware that he or she is entering [remaining] in such building without license or privilege to do so.</w:t>
      </w:r>
      <w:r>
        <w:rPr>
          <w:rFonts w:ascii="Arial" w:hAnsi="Arial" w:eastAsia="Arial"/>
          <w:color w:val="000000"/>
          <w:spacing w:val="-3"/>
          <w:w w:val="100"/>
          <w:sz w:val="28"/>
          <w:vertAlign w:val="superscript"/>
          <w:lang w:val="en-US"/>
        </w:rPr>
        <w:t xml:space="preserve">9</w:t>
      </w:r>
      <w:r>
        <w:rPr>
          <w:rFonts w:ascii="Arial" w:hAnsi="Arial" w:eastAsia="Arial"/>
          <w:color w:val="000000"/>
          <w:spacing w:val="-3"/>
          <w:w w:val="100"/>
          <w:sz w:val="17"/>
          <w:vertAlign w:val="baseline"/>
          <w:lang w:val="en-US"/>
        </w:rPr>
        <w:t xml:space="preserve">
</w:t>
      </w:r>
    </w:p>
    <w:p>
      <w:pPr>
        <w:pageBreakBefore w:val="false"/>
        <w:spacing w:before="334" w:after="0" w:line="317"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POSSESS means to have physical possession or otherwise to exercise dominion or control over tangible property.</w:t>
      </w:r>
      <w:r>
        <w:rPr>
          <w:rFonts w:ascii="Arial" w:hAnsi="Arial" w:eastAsia="Arial"/>
          <w:color w:val="000000"/>
          <w:spacing w:val="-5"/>
          <w:w w:val="100"/>
          <w:sz w:val="28"/>
          <w:vertAlign w:val="superscript"/>
          <w:lang w:val="en-US"/>
        </w:rPr>
        <w:t xml:space="preserve">10</w:t>
      </w:r>
      <w:r>
        <w:rPr>
          <w:rFonts w:ascii="Arial" w:hAnsi="Arial" w:eastAsia="Arial"/>
          <w:color w:val="000000"/>
          <w:spacing w:val="-5"/>
          <w:w w:val="100"/>
          <w:sz w:val="17"/>
          <w:vertAlign w:val="baseline"/>
          <w:lang w:val="en-US"/>
        </w:rPr>
        <w:t xml:space="preserve">
</w:t>
      </w:r>
    </w:p>
    <w:p>
      <w:pPr>
        <w:pageBreakBefore w:val="false"/>
        <w:spacing w:before="324" w:after="0" w:line="324" w:lineRule="exact"/>
        <w:ind w:right="0" w:left="72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FIREARM means any pistol or revolver.</w:t>
      </w:r>
      <w:r>
        <w:rPr>
          <w:rFonts w:ascii="Arial" w:hAnsi="Arial" w:eastAsia="Arial"/>
          <w:color w:val="000000"/>
          <w:spacing w:val="-3"/>
          <w:w w:val="100"/>
          <w:sz w:val="28"/>
          <w:vertAlign w:val="superscript"/>
          <w:lang w:val="en-US"/>
        </w:rPr>
        <w:t xml:space="preserve">11</w:t>
      </w:r>
      <w:r>
        <w:rPr>
          <w:rFonts w:ascii="Arial" w:hAnsi="Arial" w:eastAsia="Arial"/>
          <w:color w:val="000000"/>
          <w:spacing w:val="-3"/>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r>
        <w:rPr>
          <w:rFonts w:ascii="Arial" w:hAnsi="Arial" w:eastAsia="Arial"/>
          <w:color w:val="000000"/>
          <w:spacing w:val="-4"/>
          <w:w w:val="100"/>
          <w:sz w:val="28"/>
          <w:vertAlign w:val="superscript"/>
          <w:lang w:val="en-US"/>
        </w:rPr>
        <w:t xml:space="preserve">12</w:t>
      </w:r>
      <w:r>
        <w:rPr>
          <w:rFonts w:ascii="Arial" w:hAnsi="Arial" w:eastAsia="Arial"/>
          <w:color w:val="000000"/>
          <w:spacing w:val="-4"/>
          <w:w w:val="100"/>
          <w:sz w:val="28"/>
          <w:vertAlign w:val="baseline"/>
          <w:lang w:val="en-US"/>
        </w:rPr>
        <w:t xml:space="preserve">]</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[SHOTGUN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single pull of the trigger.</w:t>
      </w:r>
      <w:r>
        <w:rPr>
          <w:rFonts w:ascii="Arial" w:hAnsi="Arial" w:eastAsia="Arial"/>
          <w:color w:val="000000"/>
          <w:spacing w:val="0"/>
          <w:w w:val="100"/>
          <w:sz w:val="28"/>
          <w:vertAlign w:val="superscript"/>
          <w:lang w:val="en-US"/>
        </w:rPr>
        <w:t xml:space="preserve">13</w:t>
      </w:r>
      <w:r>
        <w:rPr>
          <w:rFonts w:ascii="Arial" w:hAnsi="Arial" w:eastAsia="Arial"/>
          <w:color w:val="000000"/>
          <w:spacing w:val="0"/>
          <w:w w:val="100"/>
          <w:sz w:val="28"/>
          <w:vertAlign w:val="baseline"/>
          <w:lang w:val="en-US"/>
        </w:rPr>
        <w:t xml:space="preserve">]</w:t>
      </w:r>
    </w:p>
    <w:p>
      <w:pPr>
        <w:pageBreakBefore w:val="false"/>
        <w:spacing w:before="328"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tabs>
          <w:tab w:val="right" w:leader="none" w:pos="7920"/>
        </w:tabs>
        <w:spacing w:before="329" w:after="504"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w:t>
      </w:r>
    </w:p>
    <w:p>
      <w:pPr>
        <w:pageBreakBefore w:val="false"/>
        <w:spacing w:before="255" w:after="0"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7.75pt,535.9pt" to="252.05pt,535.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9</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15.05(2).</w:t>
      </w:r>
    </w:p>
    <w:p>
      <w:pPr>
        <w:pageBreakBefore w:val="false"/>
        <w:spacing w:before="247"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10.00(8). Where constructive possession is alleged, insert the appropriate instruction as found in the “Additional Charges” section at the end of this article.</w:t>
      </w:r>
    </w:p>
    <w:p>
      <w:pPr>
        <w:pageBreakBefore w:val="false"/>
        <w:spacing w:before="232"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140.17 and 265.00(3).</w:t>
      </w:r>
    </w:p>
    <w:p>
      <w:pPr>
        <w:pageBreakBefore w:val="false"/>
        <w:spacing w:before="247"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140.17 and 265.00(11).</w:t>
      </w:r>
    </w:p>
    <w:p>
      <w:pPr>
        <w:pageBreakBefore w:val="false"/>
        <w:spacing w:before="243"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140.17 and 265.00(12).</w:t>
      </w:r>
    </w:p>
    <w:p>
      <w:pPr>
        <w:pageBreakBefore w:val="false"/>
        <w:spacing w:before="251" w:after="0" w:line="295"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1024" w:top="1440" w:right="2145" w:left="2155" w:header="720" w:footer="720"/>
          <w:titlePg w:val="false"/>
          <w:textDirection w:val="lrTb"/>
        </w:sectPr>
      </w:pPr>
    </w:p>
    <w:p>
      <w:pPr>
        <w:pageBreakBefore w:val="false"/>
        <w:spacing w:before="0" w:after="0" w:line="32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unlawfully entered [remained] in a building located at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30" w:after="0" w:line="318"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w:t>
      </w:r>
    </w:p>
    <w:p>
      <w:pPr>
        <w:pageBreakBefore w:val="false"/>
        <w:numPr>
          <w:ilvl w:val="0"/>
          <w:numId w:val="1"/>
        </w:numPr>
        <w:tabs>
          <w:tab w:val="clear" w:pos="720"/>
          <w:tab w:val="left" w:pos="1440"/>
        </w:tabs>
        <w:spacing w:before="328" w:after="0" w:line="323"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in the course of committing that crime, the defendant knew that another participant in the crime possessed a firearm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 rifle]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 shotgun] and also possessed or had readily accessible a quantity of ammunition which was capable of being discharged from such firearm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rifle]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shotgun].</w:t>
      </w:r>
    </w:p>
    <w:p>
      <w:pPr>
        <w:pageBreakBefore w:val="false"/>
        <w:spacing w:before="332"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6514"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33" w:after="6514" w:line="321" w:lineRule="exact"/>
        <w:sectPr>
          <w:type w:val="nextPage"/>
          <w:pgSz w:w="12240" w:h="15840" w:orient="portrait"/>
          <w:pgMar w:bottom="1024" w:top="1440" w:right="2145" w:left="2155"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