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THIRD DEGREE</w:t>
        <w:br/>
      </w:r>
      <w:r>
        <w:rPr>
          <w:rFonts w:ascii="Arial" w:hAnsi="Arial" w:eastAsia="Arial"/>
          <w:b w:val="true"/>
          <w:color w:val="000000"/>
          <w:spacing w:val="0"/>
          <w:w w:val="100"/>
          <w:sz w:val="28"/>
          <w:vertAlign w:val="baseline"/>
          <w:lang w:val="en-US"/>
        </w:rPr>
        <w:t xml:space="preserve">Penal Law § 140.20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55"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Third Degree.</w:t>
      </w:r>
    </w:p>
    <w:p>
      <w:pPr>
        <w:pageBreakBefore w:val="false"/>
        <w:spacing w:before="328"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Burglary in the Third Degree when that person knowingly enters [remains</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unlawfully in a building with the intent to commit a crime therein.</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2" w:after="1606"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9" w:after="0" w:line="277" w:lineRule="exact"/>
        <w:ind w:right="72" w:left="0" w:firstLine="720"/>
        <w:jc w:val="left"/>
        <w:textAlignment w:val="baseline"/>
        <w:rPr>
          <w:rFonts w:ascii="Arial" w:hAnsi="Arial" w:eastAsia="Arial"/>
          <w:color w:val="000000"/>
          <w:spacing w:val="0"/>
          <w:w w:val="100"/>
          <w:sz w:val="17"/>
          <w:vertAlign w:val="baseline"/>
          <w:lang w:val="en-US"/>
        </w:rPr>
      </w:pPr>
      <w:r>
        <w:pict>
          <v:line strokeweight="1.2pt" strokecolor="#000000" from="108pt,527.05pt" to="252.05pt,527.0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86" w:after="0" w:line="277" w:lineRule="exact"/>
        <w:ind w:right="216" w:left="0" w:firstLine="72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70" w:after="0" w:line="277"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5"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595"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277" w:after="0" w:line="294" w:lineRule="exact"/>
        <w:ind w:right="0" w:left="720" w:firstLine="0"/>
        <w:jc w:val="left"/>
        <w:textAlignment w:val="baseline"/>
        <w:rPr>
          <w:rFonts w:ascii="Arial" w:hAnsi="Arial" w:eastAsia="Arial"/>
          <w:color w:val="000000"/>
          <w:spacing w:val="1"/>
          <w:w w:val="100"/>
          <w:sz w:val="17"/>
          <w:vertAlign w:val="baseline"/>
          <w:lang w:val="en-US"/>
        </w:rPr>
      </w:pPr>
      <w:r>
        <w:pict>
          <v:line strokeweight="1.2pt" strokecolor="#000000" from="108pt,555.6pt" to="252.05pt,555.6pt" style="position:absolute;mso-position-horizontal-relative:page;mso-position-vertical-relative:page;">
            <v:stroke dashstyle="solid"/>
          </v:line>
        </w:pict>
      </w:r>
      <w:r>
        <w:rPr>
          <w:rFonts w:ascii="Arial" w:hAnsi="Arial" w:eastAsia="Arial"/>
          <w:color w:val="000000"/>
          <w:spacing w:val="1"/>
          <w:w w:val="100"/>
          <w:sz w:val="17"/>
          <w:vertAlign w:val="baseline"/>
          <w:lang w:val="en-US"/>
        </w:rPr>
        <w:t xml:space="preserve">4 </w:t>
      </w:r>
      <w:r>
        <w:rPr>
          <w:rFonts w:ascii="Arial" w:hAnsi="Arial" w:eastAsia="Arial"/>
          <w:color w:val="000000"/>
          <w:spacing w:val="1"/>
          <w:w w:val="100"/>
          <w:sz w:val="24"/>
          <w:vertAlign w:val="baseline"/>
          <w:lang w:val="en-US"/>
        </w:rPr>
        <w:t xml:space="preserve">Penal Law § 140.00(2).</w:t>
      </w:r>
    </w:p>
    <w:p>
      <w:pPr>
        <w:pageBreakBefore w:val="false"/>
        <w:spacing w:before="272" w:after="0" w:line="294"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5 </w:t>
      </w:r>
      <w:r>
        <w:rPr>
          <w:rFonts w:ascii="Arial" w:hAnsi="Arial" w:eastAsia="Arial"/>
          <w:color w:val="000000"/>
          <w:spacing w:val="0"/>
          <w:w w:val="100"/>
          <w:sz w:val="24"/>
          <w:vertAlign w:val="baseline"/>
          <w:lang w:val="en-US"/>
        </w:rPr>
        <w:t xml:space="preserve">Penal Law § 140.00(5).</w:t>
      </w:r>
    </w:p>
    <w:p>
      <w:pPr>
        <w:pageBreakBefore w:val="false"/>
        <w:spacing w:before="268" w:after="0" w:line="291" w:lineRule="exact"/>
        <w:ind w:right="0" w:left="72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6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footnote 1.</w:t>
      </w:r>
    </w:p>
    <w:p>
      <w:pPr>
        <w:pageBreakBefore w:val="false"/>
        <w:spacing w:before="275" w:after="0" w:line="290"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color w:val="000000"/>
          <w:spacing w:val="0"/>
          <w:w w:val="100"/>
          <w:sz w:val="24"/>
          <w:vertAlign w:val="baseline"/>
          <w:lang w:val="en-US"/>
        </w:rPr>
        <w:t xml:space="preserve">Penal Law § 140.00(5).</w:t>
      </w:r>
    </w:p>
    <w:p>
      <w:pPr>
        <w:pageBreakBefore w:val="false"/>
        <w:spacing w:before="267" w:after="258" w:line="299"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8 </w:t>
      </w:r>
      <w:r>
        <w:rPr>
          <w:rFonts w:ascii="Arial" w:hAnsi="Arial" w:eastAsia="Arial"/>
          <w:color w:val="000000"/>
          <w:spacing w:val="0"/>
          <w:w w:val="100"/>
          <w:sz w:val="24"/>
          <w:vertAlign w:val="baseline"/>
          <w:lang w:val="en-US"/>
        </w:rPr>
        <w:t xml:space="preserve">Penal Law § 140.00(5).</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31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28"/>
          <w:vertAlign w:val="baseline"/>
          <w:lang w:val="en-US"/>
        </w:rPr>
        <w:t xml:space="preserve">]</w:t>
      </w:r>
    </w:p>
    <w:p>
      <w:pPr>
        <w:pageBreakBefore w:val="false"/>
        <w:spacing w:before="323"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 in a building unlawfully and does so with the intent to commit a crime in the building, regardless of whether that person ever commits, or even attempts to commit, any crime in the building.</w:t>
      </w:r>
    </w:p>
    <w:p>
      <w:pPr>
        <w:pageBreakBefore w:val="false"/>
        <w:spacing w:before="318"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32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0" w:after="412" w:line="326"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2.That the defendant did so knowingly; and</w:t>
      </w:r>
    </w:p>
    <w:p>
      <w:pPr>
        <w:pageBreakBefore w:val="false"/>
        <w:spacing w:before="277" w:after="0" w:line="295" w:lineRule="exact"/>
        <w:ind w:right="0" w:left="720" w:firstLine="0"/>
        <w:jc w:val="left"/>
        <w:textAlignment w:val="baseline"/>
        <w:rPr>
          <w:rFonts w:ascii="Arial" w:hAnsi="Arial" w:eastAsia="Arial"/>
          <w:color w:val="000000"/>
          <w:spacing w:val="0"/>
          <w:w w:val="100"/>
          <w:sz w:val="17"/>
          <w:vertAlign w:val="baseline"/>
          <w:lang w:val="en-US"/>
        </w:rPr>
      </w:pPr>
      <w:r>
        <w:pict>
          <v:line strokeweight="1.2pt" strokecolor="#000000" from="107.85pt,612pt" to="252.05pt,612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9 </w:t>
      </w:r>
      <w:r>
        <w:rPr>
          <w:rFonts w:ascii="Arial" w:hAnsi="Arial" w:eastAsia="Arial"/>
          <w:color w:val="000000"/>
          <w:spacing w:val="0"/>
          <w:w w:val="100"/>
          <w:sz w:val="24"/>
          <w:vertAlign w:val="baseline"/>
          <w:lang w:val="en-US"/>
        </w:rPr>
        <w:t xml:space="preserve">See Penal Law § 15.05(2).</w:t>
      </w:r>
    </w:p>
    <w:p>
      <w:pPr>
        <w:pageBreakBefore w:val="false"/>
        <w:spacing w:before="267" w:after="0" w:line="297" w:lineRule="exact"/>
        <w:ind w:right="0" w:left="72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10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Penal Law § 15.05(1)</w:t>
      </w:r>
    </w:p>
    <w:p>
      <w:pPr>
        <w:pageBreakBefore w:val="false"/>
        <w:spacing w:before="264" w:after="252" w:line="290"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11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1.</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14" w:after="0" w:line="317"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3.That the defendant did so with the intent to commit a crime inside the building.</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6718" w:line="325"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1" w:after="6718" w:line="325" w:lineRule="exact"/>
        <w:sectPr>
          <w:type w:val="nextPage"/>
          <w:pgSz w:w="12240" w:h="15840" w:orient="portrait"/>
          <w:pgMar w:bottom="1024" w:top="1440" w:right="2145" w:left="2155" w:header="720" w:footer="720"/>
          <w:titlePg w:val="false"/>
          <w:textDirection w:val="lrTb"/>
        </w:sectPr>
      </w:pPr>
    </w:p>
    <w:p>
      <w:pPr>
        <w:pageBreakBefore w:val="false"/>
        <w:spacing w:before="282" w:after="0" w:line="281" w:lineRule="exact"/>
        <w:ind w:right="144" w:left="144" w:firstLine="720"/>
        <w:jc w:val="left"/>
        <w:textAlignment w:val="baseline"/>
        <w:rPr>
          <w:rFonts w:ascii="Arial" w:hAnsi="Arial" w:eastAsia="Arial"/>
          <w:color w:val="000000"/>
          <w:spacing w:val="0"/>
          <w:w w:val="100"/>
          <w:sz w:val="17"/>
          <w:vertAlign w:val="baseline"/>
          <w:lang w:val="en-US"/>
        </w:rPr>
      </w:pPr>
      <w:r>
        <w:pict>
          <v:line strokeweight="1.2pt" strokecolor="#000000" from="108pt,570.95pt" to="252.05pt,570.9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12 </w:t>
      </w:r>
      <w:r>
        <w:rPr>
          <w:rFonts w:ascii="Arial" w:hAnsi="Arial" w:eastAsia="Arial"/>
          <w:color w:val="000000"/>
          <w:spacing w:val="0"/>
          <w:w w:val="100"/>
          <w:sz w:val="24"/>
          <w:vertAlign w:val="baseline"/>
          <w:lang w:val="en-US"/>
        </w:rPr>
        <w:t xml:space="preserve">If, in the indictment or bill of particulars, the People allege that the defendant intended a specific crime, that crime must be specified [</w:t>
      </w:r>
      <w:r>
        <w:rPr>
          <w:rFonts w:ascii="Arial" w:hAnsi="Arial" w:eastAsia="Arial"/>
          <w:i w:val="true"/>
          <w:color w:val="000000"/>
          <w:spacing w:val="0"/>
          <w:w w:val="100"/>
          <w:sz w:val="24"/>
          <w:vertAlign w:val="baseline"/>
          <w:lang w:val="en-US"/>
        </w:rPr>
        <w:t xml:space="preserve">People v Barnes, </w:t>
      </w:r>
      <w:r>
        <w:rPr>
          <w:rFonts w:ascii="Arial" w:hAnsi="Arial" w:eastAsia="Arial"/>
          <w:color w:val="000000"/>
          <w:spacing w:val="0"/>
          <w:w w:val="100"/>
          <w:sz w:val="24"/>
          <w:vertAlign w:val="baseline"/>
          <w:lang w:val="en-US"/>
        </w:rPr>
        <w:t xml:space="preserve">50 NY2d 375, 379 n 3 (1980)] and the third element should then be:</w:t>
      </w:r>
    </w:p>
    <w:p>
      <w:pPr>
        <w:pageBreakBefore w:val="false"/>
        <w:spacing w:before="286" w:after="0" w:line="283" w:lineRule="exact"/>
        <w:ind w:right="432" w:left="864"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51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284" w:left="201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