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SECOND DEGREE</w:t>
        <w:br/>
      </w:r>
      <w:r>
        <w:rPr>
          <w:rFonts w:ascii="Arial" w:hAnsi="Arial" w:eastAsia="Arial"/>
          <w:b w:val="true"/>
          <w:color w:val="000000"/>
          <w:spacing w:val="0"/>
          <w:w w:val="100"/>
          <w:sz w:val="28"/>
          <w:vertAlign w:val="baseline"/>
          <w:lang w:val="en-US"/>
        </w:rPr>
        <w:t xml:space="preserve">(Physical Injury to Non-participant)</w:t>
        <w:br/>
      </w:r>
      <w:r>
        <w:rPr>
          <w:rFonts w:ascii="Arial" w:hAnsi="Arial" w:eastAsia="Arial"/>
          <w:b w:val="true"/>
          <w:color w:val="000000"/>
          <w:spacing w:val="0"/>
          <w:w w:val="100"/>
          <w:sz w:val="28"/>
          <w:vertAlign w:val="baseline"/>
          <w:lang w:val="en-US"/>
        </w:rPr>
        <w:t xml:space="preserve">Penal Law § 140.25(1)(b)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53" w:after="0" w:line="326"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Second Degree.</w:t>
      </w:r>
    </w:p>
    <w:p>
      <w:pPr>
        <w:pageBreakBefore w:val="false"/>
        <w:spacing w:before="309"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Burglary in the Second Degree when that person knowingly enters [remains]</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 unlawfully in a building with the intent to commit a crime therein, and when, in effecting entry or while in the building or in immediate flight therefrom, that person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another participant in the crime] causes physical injury to any person who is not a participant in the crime.</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2" w:after="387"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9"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31.85pt" to="252.05pt,531.8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33" w:after="0" w:line="277" w:lineRule="exact"/>
        <w:ind w:right="0" w:left="0" w:firstLine="50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7" w:after="0" w:line="277"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3</w:t>
      </w:r>
      <w:r>
        <w:rPr>
          <w:rFonts w:ascii="Arial" w:hAnsi="Arial" w:eastAsia="Arial"/>
          <w:color w:val="000000"/>
          <w:spacing w:val="-1"/>
          <w:w w:val="100"/>
          <w:sz w:val="24"/>
          <w:vertAlign w:val="baseline"/>
          <w:lang w:val="en-US"/>
        </w:rPr>
        <w:t xml:space="preserve"> 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758"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256" w:after="0" w:line="275" w:lineRule="exact"/>
        <w:ind w:right="0" w:left="288" w:firstLine="0"/>
        <w:jc w:val="left"/>
        <w:textAlignment w:val="baseline"/>
        <w:rPr>
          <w:rFonts w:ascii="Arial" w:hAnsi="Arial" w:eastAsia="Arial"/>
          <w:color w:val="000000"/>
          <w:spacing w:val="-1"/>
          <w:w w:val="100"/>
          <w:sz w:val="14"/>
          <w:vertAlign w:val="superscript"/>
          <w:lang w:val="en-US"/>
        </w:rPr>
      </w:pPr>
      <w:r>
        <w:pict>
          <v:line strokeweight="0.95pt" strokecolor="#000000" from="108pt,564pt" to="252.05pt,564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4</w:t>
      </w:r>
      <w:r>
        <w:rPr>
          <w:rFonts w:ascii="Arial" w:hAnsi="Arial" w:eastAsia="Arial"/>
          <w:color w:val="000000"/>
          <w:spacing w:val="-1"/>
          <w:w w:val="100"/>
          <w:sz w:val="24"/>
          <w:vertAlign w:val="baseline"/>
          <w:lang w:val="en-US"/>
        </w:rPr>
        <w:t xml:space="preserve"> Penal Law § 140.00(2).</w:t>
      </w:r>
    </w:p>
    <w:p>
      <w:pPr>
        <w:pageBreakBefore w:val="false"/>
        <w:spacing w:before="238"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color w:val="000000"/>
          <w:spacing w:val="-1"/>
          <w:w w:val="100"/>
          <w:sz w:val="24"/>
          <w:vertAlign w:val="baseline"/>
          <w:lang w:val="en-US"/>
        </w:rPr>
        <w:t xml:space="preserve"> Penal Law § 140.00(5).</w:t>
      </w:r>
    </w:p>
    <w:p>
      <w:pPr>
        <w:pageBreakBefore w:val="false"/>
        <w:spacing w:before="242" w:after="0" w:line="275" w:lineRule="exact"/>
        <w:ind w:right="0" w:left="288" w:firstLine="0"/>
        <w:jc w:val="left"/>
        <w:textAlignment w:val="baseline"/>
        <w:rPr>
          <w:rFonts w:ascii="Arial" w:hAnsi="Arial" w:eastAsia="Arial"/>
          <w:i w:val="true"/>
          <w:color w:val="000000"/>
          <w:spacing w:val="0"/>
          <w:w w:val="100"/>
          <w:sz w:val="14"/>
          <w:vertAlign w:val="superscript"/>
          <w:lang w:val="en-US"/>
        </w:rPr>
      </w:pPr>
      <w:r>
        <w:rPr>
          <w:rFonts w:ascii="Arial" w:hAnsi="Arial" w:eastAsia="Arial"/>
          <w:i w:val="true"/>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41"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color w:val="000000"/>
          <w:spacing w:val="-1"/>
          <w:w w:val="100"/>
          <w:sz w:val="24"/>
          <w:vertAlign w:val="baseline"/>
          <w:lang w:val="en-US"/>
        </w:rPr>
        <w:t xml:space="preserve"> Penal Law § 140.00(5).</w:t>
      </w:r>
    </w:p>
    <w:p>
      <w:pPr>
        <w:pageBreakBefore w:val="false"/>
        <w:spacing w:before="243" w:after="248"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8</w:t>
      </w:r>
      <w:r>
        <w:rPr>
          <w:rFonts w:ascii="Arial" w:hAnsi="Arial" w:eastAsia="Arial"/>
          <w:color w:val="000000"/>
          <w:spacing w:val="-1"/>
          <w:w w:val="100"/>
          <w:sz w:val="24"/>
          <w:vertAlign w:val="baseline"/>
          <w:lang w:val="en-US"/>
        </w:rPr>
        <w:t xml:space="preserve"> 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28"/>
          <w:vertAlign w:val="baseline"/>
          <w:lang w:val="en-US"/>
        </w:rPr>
        <w:t xml:space="preserve">]</w:t>
      </w:r>
    </w:p>
    <w:p>
      <w:pPr>
        <w:pageBreakBefore w:val="false"/>
        <w:spacing w:before="32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 in a building unlawfully and does so with the intent to commit a crime in the building, regardless of whether that person ever commits, or even attempts to commit, any crime in the building.</w:t>
      </w:r>
    </w:p>
    <w:p>
      <w:pPr>
        <w:pageBreakBefore w:val="false"/>
        <w:spacing w:before="332"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3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tabs>
          <w:tab w:val="right" w:leader="none" w:pos="7920"/>
        </w:tabs>
        <w:spacing w:before="323" w:after="278"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258" w:after="0" w:line="273" w:lineRule="exact"/>
        <w:ind w:right="0" w:left="216" w:firstLine="0"/>
        <w:jc w:val="left"/>
        <w:textAlignment w:val="baseline"/>
        <w:rPr>
          <w:rFonts w:ascii="Arial" w:hAnsi="Arial" w:eastAsia="Arial"/>
          <w:color w:val="000000"/>
          <w:spacing w:val="-1"/>
          <w:w w:val="100"/>
          <w:sz w:val="14"/>
          <w:vertAlign w:val="superscript"/>
          <w:lang w:val="en-US"/>
        </w:rPr>
      </w:pPr>
      <w:r>
        <w:pict>
          <v:line strokeweight="1.2pt" strokecolor="#000000" from="107.85pt,589.45pt" to="252.05pt,589.4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37" w:after="0" w:line="277" w:lineRule="exact"/>
        <w:ind w:right="0" w:left="216"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41" w:after="0" w:line="273" w:lineRule="exact"/>
        <w:ind w:right="0" w:left="216"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1.</w:t>
      </w:r>
    </w:p>
    <w:p>
      <w:pPr>
        <w:pageBreakBefore w:val="false"/>
        <w:spacing w:before="256" w:after="0" w:line="273" w:lineRule="exact"/>
        <w:ind w:right="0" w:left="0" w:firstLine="0"/>
        <w:jc w:val="center"/>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50"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1" w:after="0" w:line="317"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36" w:after="0" w:line="31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building;</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2" w:after="0" w:line="325"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in effecting entry or while in the building or in immediate flight therefrom, the defendant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caused physical injury to a person who was not a participant in the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399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3999" w:line="324" w:lineRule="exact"/>
        <w:sectPr>
          <w:type w:val="nextPage"/>
          <w:pgSz w:w="12240" w:h="15840" w:orient="portrait"/>
          <w:pgMar w:bottom="1024" w:top="1440" w:right="2140" w:left="2160" w:header="720" w:footer="720"/>
          <w:titlePg w:val="false"/>
          <w:textDirection w:val="lrTb"/>
        </w:sectPr>
      </w:pPr>
    </w:p>
    <w:p>
      <w:pPr>
        <w:pageBreakBefore w:val="false"/>
        <w:spacing w:before="248" w:after="0" w:line="280" w:lineRule="exact"/>
        <w:ind w:right="0" w:left="0" w:firstLine="288"/>
        <w:jc w:val="both"/>
        <w:textAlignment w:val="baseline"/>
        <w:rPr>
          <w:rFonts w:ascii="Arial" w:hAnsi="Arial" w:eastAsia="Arial"/>
          <w:color w:val="000000"/>
          <w:spacing w:val="-3"/>
          <w:w w:val="100"/>
          <w:sz w:val="14"/>
          <w:vertAlign w:val="superscript"/>
          <w:lang w:val="en-US"/>
        </w:rPr>
      </w:pPr>
      <w:r>
        <w:pict>
          <v:line strokeweight="0.95pt" strokecolor="#000000" from="108pt,597.35pt" to="252.05pt,597.3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13</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78" w:after="0" w:line="284" w:lineRule="exact"/>
        <w:ind w:right="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4"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