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SECOND DEGREE</w:t>
        <w:br/>
      </w:r>
      <w:r>
        <w:rPr>
          <w:rFonts w:ascii="Arial" w:hAnsi="Arial" w:eastAsia="Arial"/>
          <w:b w:val="true"/>
          <w:color w:val="000000"/>
          <w:spacing w:val="0"/>
          <w:w w:val="100"/>
          <w:sz w:val="28"/>
          <w:vertAlign w:val="baseline"/>
          <w:lang w:val="en-US"/>
        </w:rPr>
        <w:t xml:space="preserve">(Dwelling)</w:t>
        <w:br/>
      </w:r>
      <w:r>
        <w:rPr>
          <w:rFonts w:ascii="Arial" w:hAnsi="Arial" w:eastAsia="Arial"/>
          <w:b w:val="true"/>
          <w:color w:val="000000"/>
          <w:spacing w:val="0"/>
          <w:w w:val="100"/>
          <w:sz w:val="28"/>
          <w:vertAlign w:val="baseline"/>
          <w:lang w:val="en-US"/>
        </w:rPr>
        <w:t xml:space="preserve">Penal Law § 140.25 (2)</w:t>
        <w:br/>
      </w:r>
      <w:r>
        <w:rPr>
          <w:rFonts w:ascii="Arial" w:hAnsi="Arial" w:eastAsia="Arial"/>
          <w:b w:val="true"/>
          <w:color w:val="000000"/>
          <w:spacing w:val="0"/>
          <w:w w:val="100"/>
          <w:sz w:val="28"/>
          <w:vertAlign w:val="baseline"/>
          <w:lang w:val="en-US"/>
        </w:rPr>
        <w:t xml:space="preserve">(Committed on or after Sept. 1, 1981)</w:t>
        <w:br/>
      </w:r>
      <w:r>
        <w:rPr>
          <w:rFonts w:ascii="Arial" w:hAnsi="Arial" w:eastAsia="Arial"/>
          <w:b w:val="true"/>
          <w:color w:val="000000"/>
          <w:spacing w:val="0"/>
          <w:w w:val="100"/>
          <w:sz w:val="28"/>
          <w:vertAlign w:val="baseline"/>
          <w:lang w:val="en-US"/>
        </w:rPr>
        <w:t xml:space="preserve">(Revised January 2013 and June 2015</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647" w:after="0" w:line="326"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Second Degree.</w:t>
      </w:r>
    </w:p>
    <w:p>
      <w:pPr>
        <w:pageBreakBefore w:val="false"/>
        <w:spacing w:before="31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Burglary in the Second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unlawfully in a building with the intent to commit a crime therein, and when the building is a dwelling.</w:t>
      </w:r>
    </w:p>
    <w:p>
      <w:pPr>
        <w:pageBreakBefore w:val="false"/>
        <w:spacing w:before="32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34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255" w:after="0" w:line="278" w:lineRule="exact"/>
        <w:ind w:right="0" w:left="0" w:firstLine="504"/>
        <w:jc w:val="both"/>
        <w:textAlignment w:val="baseline"/>
        <w:rPr>
          <w:rFonts w:ascii="Arial" w:hAnsi="Arial" w:eastAsia="Arial"/>
          <w:color w:val="000000"/>
          <w:spacing w:val="0"/>
          <w:w w:val="100"/>
          <w:sz w:val="14"/>
          <w:vertAlign w:val="superscript"/>
          <w:lang w:val="en-US"/>
        </w:rPr>
      </w:pPr>
      <w:r>
        <w:pict>
          <v:line strokeweight="1.2pt" strokecolor="#000000" from="108pt,460.55pt" to="252.05pt,460.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66" w:after="0" w:line="278"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June 2015 revision was for the purpose of providing the jury with an instruction, when in issue, for determining whether an exception applies to the general rule that any part of a building with residential and non</w:t>
        <w:softHyphen/>
      </w:r>
      <w:r>
        <w:rPr>
          <w:rFonts w:ascii="Arial" w:hAnsi="Arial" w:eastAsia="Arial"/>
          <w:color w:val="000000"/>
          <w:spacing w:val="0"/>
          <w:w w:val="100"/>
          <w:sz w:val="24"/>
          <w:vertAlign w:val="baseline"/>
          <w:lang w:val="en-US"/>
        </w:rPr>
        <w:t xml:space="preserve">residential portions is considered a dwelling. </w:t>
      </w:r>
      <w:r>
        <w:rPr>
          <w:rFonts w:ascii="Arial" w:hAnsi="Arial" w:eastAsia="Arial"/>
          <w:i w:val="true"/>
          <w:color w:val="000000"/>
          <w:spacing w:val="0"/>
          <w:w w:val="100"/>
          <w:sz w:val="24"/>
          <w:vertAlign w:val="baseline"/>
          <w:lang w:val="en-US"/>
        </w:rPr>
        <w:t xml:space="preserve">See People v McCray</w:t>
      </w:r>
      <w:r>
        <w:rPr>
          <w:rFonts w:ascii="Arial" w:hAnsi="Arial" w:eastAsia="Arial"/>
          <w:color w:val="000000"/>
          <w:spacing w:val="0"/>
          <w:w w:val="100"/>
          <w:sz w:val="24"/>
          <w:vertAlign w:val="baseline"/>
          <w:lang w:val="en-US"/>
        </w:rPr>
        <w:t xml:space="preserve">, 23 NY3d 621, 624 (2014).</w:t>
      </w:r>
    </w:p>
    <w:p>
      <w:pPr>
        <w:pageBreakBefore w:val="false"/>
        <w:spacing w:before="256" w:after="0" w:line="278" w:lineRule="exact"/>
        <w:ind w:right="0" w:left="0" w:firstLine="360"/>
        <w:jc w:val="both"/>
        <w:textAlignment w:val="baseline"/>
        <w:rPr>
          <w:rFonts w:ascii="Arial" w:hAnsi="Arial" w:eastAsia="Arial"/>
          <w:color w:val="000000"/>
          <w:spacing w:val="-4"/>
          <w:w w:val="100"/>
          <w:sz w:val="16"/>
          <w:vertAlign w:val="superscript"/>
          <w:lang w:val="en-US"/>
        </w:rPr>
      </w:pPr>
      <w:r>
        <w:rPr>
          <w:rFonts w:ascii="Arial" w:hAnsi="Arial" w:eastAsia="Arial"/>
          <w:color w:val="000000"/>
          <w:spacing w:val="-4"/>
          <w:w w:val="100"/>
          <w:sz w:val="16"/>
          <w:vertAlign w:val="superscript"/>
          <w:lang w:val="en-US"/>
        </w:rPr>
        <w:t xml:space="preserve">2</w:t>
      </w:r>
      <w:r>
        <w:rPr>
          <w:rFonts w:ascii="Arial" w:hAnsi="Arial" w:eastAsia="Arial"/>
          <w:color w:val="000000"/>
          <w:spacing w:val="-4"/>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4"/>
          <w:w w:val="100"/>
          <w:sz w:val="24"/>
          <w:vertAlign w:val="baseline"/>
          <w:lang w:val="en-US"/>
        </w:rPr>
        <w:t xml:space="preserve">see People v Gaines</w:t>
      </w:r>
      <w:r>
        <w:rPr>
          <w:rFonts w:ascii="Arial" w:hAnsi="Arial" w:eastAsia="Arial"/>
          <w:color w:val="000000"/>
          <w:spacing w:val="-4"/>
          <w:w w:val="100"/>
          <w:sz w:val="24"/>
          <w:vertAlign w:val="baseline"/>
          <w:lang w:val="en-US"/>
        </w:rPr>
        <w:t xml:space="preserve">, 74 NY2d 358 [1989]).</w:t>
      </w:r>
    </w:p>
    <w:p>
      <w:pPr>
        <w:pageBreakBefore w:val="false"/>
        <w:spacing w:before="255" w:after="0" w:line="278" w:lineRule="exact"/>
        <w:ind w:right="0" w:left="36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 (2).</w:t>
      </w:r>
    </w:p>
    <w:p>
      <w:pPr>
        <w:sectPr>
          <w:type w:val="nextPage"/>
          <w:pgSz w:w="12240" w:h="15840" w:orient="portrait"/>
          <w:pgMar w:bottom="1004" w:top="1340" w:right="2140" w:left="2160" w:header="720" w:footer="720"/>
          <w:titlePg w:val="false"/>
          <w:textDirection w:val="lrTb"/>
        </w:sectPr>
      </w:pPr>
    </w:p>
    <w:p>
      <w:pPr>
        <w:pageBreakBefore w:val="false"/>
        <w:spacing w:before="3"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DWELLING is a building which is usually occupied by a person lodging therein at night.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4" w:after="0" w:line="315" w:lineRule="exact"/>
        <w:ind w:right="0" w:left="0" w:firstLine="0"/>
        <w:jc w:val="both"/>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Add, where appropriate:</w:t>
      </w:r>
    </w:p>
    <w:p>
      <w:pPr>
        <w:pageBreakBefore w:val="false"/>
        <w:spacing w:before="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Normally, if a building contains a dwelling, a burglary committed in any part of that building is the burglary of a dwelling</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However, a building would not be a dwelling if, given the nature and size of the building, a burglary was committed in an area so remote and inaccessible from the living quarters that the burglar neither came near, nor readily could have come near, to anyone’s living quarters.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29"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83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278" w:after="0" w:line="274" w:lineRule="exact"/>
        <w:ind w:right="0" w:left="360" w:firstLine="0"/>
        <w:jc w:val="left"/>
        <w:textAlignment w:val="baseline"/>
        <w:rPr>
          <w:rFonts w:ascii="Arial" w:hAnsi="Arial" w:eastAsia="Arial"/>
          <w:color w:val="000000"/>
          <w:spacing w:val="0"/>
          <w:w w:val="100"/>
          <w:sz w:val="14"/>
          <w:vertAlign w:val="superscript"/>
          <w:lang w:val="en-US"/>
        </w:rPr>
      </w:pPr>
      <w:r>
        <w:pict>
          <v:line strokeweight="1.2pt" strokecolor="#000000" from="108pt,564pt" to="252.05pt,5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(2).</w:t>
      </w:r>
    </w:p>
    <w:p>
      <w:pPr>
        <w:pageBreakBefore w:val="false"/>
        <w:spacing w:before="263" w:after="0" w:line="274"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(3).</w:t>
      </w:r>
    </w:p>
    <w:p>
      <w:pPr>
        <w:pageBreakBefore w:val="false"/>
        <w:spacing w:before="247" w:after="0" w:line="274"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People v McCray</w:t>
      </w:r>
      <w:r>
        <w:rPr>
          <w:rFonts w:ascii="Arial" w:hAnsi="Arial" w:eastAsia="Arial"/>
          <w:color w:val="000000"/>
          <w:spacing w:val="0"/>
          <w:w w:val="100"/>
          <w:sz w:val="24"/>
          <w:vertAlign w:val="baseline"/>
          <w:lang w:val="en-US"/>
        </w:rPr>
        <w:t xml:space="preserve">, 23 NY3d 621, 624 (2014).</w:t>
      </w:r>
    </w:p>
    <w:p>
      <w:pPr>
        <w:pageBreakBefore w:val="false"/>
        <w:spacing w:before="261" w:after="0" w:line="274"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(5).</w:t>
      </w:r>
    </w:p>
    <w:p>
      <w:pPr>
        <w:pageBreakBefore w:val="false"/>
        <w:spacing w:before="242" w:after="0" w:line="274"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footnote 1.</w:t>
      </w:r>
    </w:p>
    <w:p>
      <w:pPr>
        <w:pageBreakBefore w:val="false"/>
        <w:spacing w:before="24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680" w:right="2140" w:left="2160" w:header="720" w:footer="720"/>
          <w:titlePg w:val="false"/>
          <w:textDirection w:val="lrTb"/>
        </w:sectPr>
      </w:pPr>
    </w:p>
    <w:p>
      <w:pPr>
        <w:pageBreakBefore w:val="false"/>
        <w:spacing w:before="2"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9"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30"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5"/>
          <w:w w:val="100"/>
          <w:sz w:val="28"/>
          <w:vertAlign w:val="superscript"/>
          <w:lang w:val="en-US"/>
        </w:rPr>
        <w:t xml:space="preserve">11</w:t>
      </w:r>
      <w:r>
        <w:rPr>
          <w:rFonts w:ascii="Arial" w:hAnsi="Arial" w:eastAsia="Arial"/>
          <w:color w:val="000000"/>
          <w:spacing w:val="-5"/>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512"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13</w:t>
      </w:r>
      <w:r>
        <w:rPr>
          <w:rFonts w:ascii="Arial" w:hAnsi="Arial" w:eastAsia="Arial"/>
          <w:color w:val="000000"/>
          <w:spacing w:val="-3"/>
          <w:w w:val="100"/>
          <w:sz w:val="28"/>
          <w:vertAlign w:val="baseline"/>
          <w:lang w:val="en-US"/>
        </w:rPr>
        <w:t xml:space="preserve">]</w:t>
      </w:r>
    </w:p>
    <w:p>
      <w:pPr>
        <w:pageBreakBefore w:val="false"/>
        <w:spacing w:before="278" w:after="0" w:line="275" w:lineRule="exact"/>
        <w:ind w:right="0" w:left="360" w:firstLine="0"/>
        <w:jc w:val="left"/>
        <w:textAlignment w:val="baseline"/>
        <w:rPr>
          <w:rFonts w:ascii="Arial" w:hAnsi="Arial" w:eastAsia="Arial"/>
          <w:color w:val="000000"/>
          <w:spacing w:val="0"/>
          <w:w w:val="100"/>
          <w:sz w:val="14"/>
          <w:vertAlign w:val="superscript"/>
          <w:lang w:val="en-US"/>
        </w:rPr>
      </w:pPr>
      <w:r>
        <w:pict>
          <v:line strokeweight="1.2pt" strokecolor="#000000" from="107.75pt,563.05pt" to="252.05pt,563.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 (5).</w:t>
      </w:r>
    </w:p>
    <w:p>
      <w:pPr>
        <w:pageBreakBefore w:val="false"/>
        <w:spacing w:before="258"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 (5).</w:t>
      </w:r>
    </w:p>
    <w:p>
      <w:pPr>
        <w:pageBreakBefore w:val="false"/>
        <w:spacing w:before="261"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 (2).</w:t>
      </w:r>
    </w:p>
    <w:p>
      <w:pPr>
        <w:pageBreakBefore w:val="false"/>
        <w:spacing w:before="260"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12</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 (1).</w:t>
      </w:r>
    </w:p>
    <w:p>
      <w:pPr>
        <w:pageBreakBefore w:val="false"/>
        <w:spacing w:before="237" w:after="246" w:line="275" w:lineRule="exact"/>
        <w:ind w:right="0" w:left="36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360" w:right="2145" w:left="2155"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 in a building unlawfully and does so with the intent to commit a crime in the building, regardless of whether that person ever commits, or even attempts to commit, any crime in the building.</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35" w:after="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building;</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3" w:after="0" w:line="320"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building was a dwelling.</w:t>
      </w:r>
      <w:r>
        <w:rPr>
          <w:rFonts w:ascii="Arial" w:hAnsi="Arial" w:eastAsia="Arial"/>
          <w:color w:val="000000"/>
          <w:spacing w:val="-2"/>
          <w:w w:val="100"/>
          <w:sz w:val="28"/>
          <w:vertAlign w:val="superscript"/>
          <w:lang w:val="en-US"/>
        </w:rPr>
        <w:t xml:space="preserve">15</w:t>
      </w:r>
      <w:r>
        <w:rPr>
          <w:rFonts w:ascii="Arial" w:hAnsi="Arial" w:eastAsia="Arial"/>
          <w:color w:val="000000"/>
          <w:spacing w:val="-2"/>
          <w:w w:val="100"/>
          <w:sz w:val="17"/>
          <w:vertAlign w:val="baseline"/>
          <w:lang w:val="en-US"/>
        </w:rPr>
        <w:t xml:space="preserve">
</w:t>
      </w:r>
    </w:p>
    <w:p>
      <w:pPr>
        <w:pageBreakBefore w:val="false"/>
        <w:spacing w:before="336" w:after="390" w:line="321"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proven beyond a reasonable doubt each of those elements, you must find the defendant guilty of this</w:t>
      </w:r>
    </w:p>
    <w:p>
      <w:pPr>
        <w:pageBreakBefore w:val="false"/>
        <w:spacing w:before="257" w:after="0" w:line="282" w:lineRule="exact"/>
        <w:ind w:right="0" w:left="0" w:firstLine="288"/>
        <w:jc w:val="both"/>
        <w:textAlignment w:val="baseline"/>
        <w:rPr>
          <w:rFonts w:ascii="Arial" w:hAnsi="Arial" w:eastAsia="Arial"/>
          <w:color w:val="000000"/>
          <w:spacing w:val="0"/>
          <w:w w:val="100"/>
          <w:sz w:val="14"/>
          <w:vertAlign w:val="superscript"/>
          <w:lang w:val="en-US"/>
        </w:rPr>
      </w:pPr>
      <w:r>
        <w:pict>
          <v:line strokeweight="0.95pt" strokecolor="#000000" from="107.85pt,476.9pt" to="252.05pt,47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0"/>
          <w:w w:val="100"/>
          <w:sz w:val="24"/>
          <w:vertAlign w:val="baseline"/>
          <w:lang w:val="en-US"/>
        </w:rPr>
        <w:t xml:space="preserve">see People v Barnes, </w:t>
      </w:r>
      <w:r>
        <w:rPr>
          <w:rFonts w:ascii="Arial" w:hAnsi="Arial" w:eastAsia="Arial"/>
          <w:color w:val="000000"/>
          <w:spacing w:val="0"/>
          <w:w w:val="100"/>
          <w:sz w:val="24"/>
          <w:vertAlign w:val="baseline"/>
          <w:lang w:val="en-US"/>
        </w:rPr>
        <w:t xml:space="preserve">50 NY2d 375, 379 n 3 [1980]) and the third element should then be:</w:t>
      </w:r>
    </w:p>
    <w:p>
      <w:pPr>
        <w:pageBreakBefore w:val="false"/>
        <w:spacing w:before="282" w:after="0" w:line="282" w:lineRule="exact"/>
        <w:ind w:right="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09" w:after="510" w:line="282" w:lineRule="exact"/>
        <w:ind w:right="0" w:left="0" w:firstLine="50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15</w:t>
      </w:r>
      <w:r>
        <w:rPr>
          <w:rFonts w:ascii="Arial" w:hAnsi="Arial" w:eastAsia="Arial"/>
          <w:color w:val="000000"/>
          <w:spacing w:val="0"/>
          <w:w w:val="100"/>
          <w:sz w:val="24"/>
          <w:vertAlign w:val="baseline"/>
          <w:lang w:val="en-US"/>
        </w:rPr>
        <w:t xml:space="preserve"> “Knowingly” does not modify “dwelling” for this crime because the requirement that the building be a dwelling is in a separate “and when” clause and is thus not modified by the mens rea term “knowingly” (</w:t>
      </w:r>
      <w:r>
        <w:rPr>
          <w:rFonts w:ascii="Arial" w:hAnsi="Arial" w:eastAsia="Arial"/>
          <w:i w:val="true"/>
          <w:color w:val="000000"/>
          <w:spacing w:val="0"/>
          <w:w w:val="100"/>
          <w:sz w:val="24"/>
          <w:vertAlign w:val="baseline"/>
          <w:lang w:val="en-US"/>
        </w:rPr>
        <w:t xml:space="preserve">see People </w:t>
      </w:r>
      <w:r>
        <w:rPr>
          <w:rFonts w:ascii="Arial" w:hAnsi="Arial" w:eastAsia="Arial"/>
          <w:color w:val="000000"/>
          <w:spacing w:val="0"/>
          <w:w w:val="100"/>
          <w:sz w:val="24"/>
          <w:vertAlign w:val="baseline"/>
          <w:lang w:val="en-US"/>
        </w:rPr>
        <w:t xml:space="preserve">v </w:t>
      </w:r>
      <w:r>
        <w:rPr>
          <w:rFonts w:ascii="Arial" w:hAnsi="Arial" w:eastAsia="Arial"/>
          <w:i w:val="true"/>
          <w:color w:val="000000"/>
          <w:spacing w:val="0"/>
          <w:w w:val="100"/>
          <w:sz w:val="24"/>
          <w:vertAlign w:val="baseline"/>
          <w:lang w:val="en-US"/>
        </w:rPr>
        <w:t xml:space="preserve">Mitchell</w:t>
      </w:r>
      <w:r>
        <w:rPr>
          <w:rFonts w:ascii="Arial" w:hAnsi="Arial" w:eastAsia="Arial"/>
          <w:color w:val="000000"/>
          <w:spacing w:val="0"/>
          <w:w w:val="100"/>
          <w:sz w:val="24"/>
          <w:vertAlign w:val="baseline"/>
          <w:lang w:val="en-US"/>
        </w:rPr>
        <w:t xml:space="preserve">, 77 NY2d 624 [1991]; </w:t>
      </w:r>
      <w:r>
        <w:rPr>
          <w:rFonts w:ascii="Arial" w:hAnsi="Arial" w:eastAsia="Arial"/>
          <w:i w:val="true"/>
          <w:color w:val="000000"/>
          <w:spacing w:val="0"/>
          <w:w w:val="100"/>
          <w:sz w:val="24"/>
          <w:vertAlign w:val="baseline"/>
          <w:lang w:val="en-US"/>
        </w:rPr>
        <w:t xml:space="preserve">People v Wilson</w:t>
      </w:r>
      <w:r>
        <w:rPr>
          <w:rFonts w:ascii="Arial" w:hAnsi="Arial" w:eastAsia="Arial"/>
          <w:color w:val="000000"/>
          <w:spacing w:val="0"/>
          <w:w w:val="100"/>
          <w:sz w:val="24"/>
          <w:vertAlign w:val="baseline"/>
          <w:lang w:val="en-US"/>
        </w:rPr>
        <w:t xml:space="preserve">, 245 AD2d 402 [2d Dept 1997]; </w:t>
      </w:r>
      <w:r>
        <w:rPr>
          <w:rFonts w:ascii="Arial" w:hAnsi="Arial" w:eastAsia="Arial"/>
          <w:i w:val="true"/>
          <w:color w:val="000000"/>
          <w:spacing w:val="0"/>
          <w:w w:val="100"/>
          <w:sz w:val="24"/>
          <w:vertAlign w:val="baseline"/>
          <w:lang w:val="en-US"/>
        </w:rPr>
        <w:t xml:space="preserve">People v Davis</w:t>
      </w:r>
      <w:r>
        <w:rPr>
          <w:rFonts w:ascii="Arial" w:hAnsi="Arial" w:eastAsia="Arial"/>
          <w:color w:val="000000"/>
          <w:spacing w:val="0"/>
          <w:w w:val="100"/>
          <w:sz w:val="24"/>
          <w:vertAlign w:val="baseline"/>
          <w:lang w:val="en-US"/>
        </w:rPr>
        <w:t xml:space="preserve">, 244 AD2d 1003, 1004 [4th Dept 1997];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240 AD2d 255 [1st Dept 1997]).</w:t>
      </w:r>
    </w:p>
    <w:p>
      <w:pPr>
        <w:spacing w:before="209" w:after="510" w:line="282" w:lineRule="exact"/>
        <w:sectPr>
          <w:type w:val="nextPage"/>
          <w:pgSz w:w="12240" w:h="15840" w:orient="portrait"/>
          <w:pgMar w:bottom="1024" w:top="1360" w:right="2143" w:left="2157"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continuous"/>
          <w:pgSz w:w="12240" w:h="15840" w:orient="portrait"/>
          <w:pgMar w:bottom="1024" w:top="1360" w:right="2152" w:left="2148" w:header="720" w:footer="720"/>
          <w:titlePg w:val="false"/>
          <w:textDirection w:val="lrTb"/>
        </w:sectPr>
      </w:pPr>
    </w:p>
    <w:p>
      <w:pPr>
        <w:pageBreakBefore w:val="false"/>
        <w:spacing w:before="2" w:after="0" w:line="319"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crime.</w:t>
      </w:r>
    </w:p>
    <w:p>
      <w:pPr>
        <w:pageBreakBefore w:val="false"/>
        <w:spacing w:before="324" w:after="1119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11192" w:line="324" w:lineRule="exact"/>
        <w:sectPr>
          <w:type w:val="nextPage"/>
          <w:pgSz w:w="12240" w:h="15840" w:orient="portrait"/>
          <w:pgMar w:bottom="1024" w:top="1360" w:right="2147" w:left="2153"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36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