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BURGLARY IN THE FIRST DEGREE</w:t>
        <w:br/>
      </w:r>
      <w:r>
        <w:rPr>
          <w:rFonts w:ascii="Arial" w:hAnsi="Arial" w:eastAsia="Arial"/>
          <w:b w:val="true"/>
          <w:color w:val="000000"/>
          <w:spacing w:val="0"/>
          <w:w w:val="100"/>
          <w:sz w:val="28"/>
          <w:vertAlign w:val="baseline"/>
          <w:lang w:val="en-US"/>
        </w:rPr>
        <w:t xml:space="preserve">(Physical Injury to Non-participant)</w:t>
        <w:br/>
      </w:r>
      <w:r>
        <w:rPr>
          <w:rFonts w:ascii="Arial" w:hAnsi="Arial" w:eastAsia="Arial"/>
          <w:b w:val="true"/>
          <w:color w:val="000000"/>
          <w:spacing w:val="0"/>
          <w:w w:val="100"/>
          <w:sz w:val="28"/>
          <w:vertAlign w:val="baseline"/>
          <w:lang w:val="en-US"/>
        </w:rPr>
        <w:t xml:space="preserve">Penal Law § 140.30(2)</w:t>
      </w:r>
    </w:p>
    <w:p>
      <w:pPr>
        <w:pageBreakBefore w:val="false"/>
        <w:spacing w:before="0" w:after="0" w:line="328"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(Committed on or after Sept. 1, 1981)</w:t>
        <w:br/>
      </w:r>
      <w:r>
        <w:rPr>
          <w:rFonts w:ascii="Arial" w:hAnsi="Arial" w:eastAsia="Arial"/>
          <w:b w:val="true"/>
          <w:color w:val="000000"/>
          <w:spacing w:val="0"/>
          <w:w w:val="100"/>
          <w:sz w:val="28"/>
          <w:vertAlign w:val="baseline"/>
          <w:lang w:val="en-US"/>
        </w:rPr>
        <w:t xml:space="preserve">(Revised January 2013</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33" w:after="0" w:line="320"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Burglary in the First Degree.</w:t>
      </w:r>
    </w:p>
    <w:p>
      <w:pPr>
        <w:pageBreakBefore w:val="false"/>
        <w:spacing w:before="326"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Under our law, a person is guilty of Burglary in the First Degree when that person knowingly enters [remains]</w:t>
      </w:r>
      <w:r>
        <w:rPr>
          <w:rFonts w:ascii="Arial" w:hAnsi="Arial" w:eastAsia="Arial"/>
          <w:color w:val="000000"/>
          <w:spacing w:val="-4"/>
          <w:w w:val="100"/>
          <w:sz w:val="28"/>
          <w:vertAlign w:val="superscript"/>
          <w:lang w:val="en-US"/>
        </w:rPr>
        <w:t xml:space="preserve">2</w:t>
      </w:r>
      <w:r>
        <w:rPr>
          <w:rFonts w:ascii="Arial" w:hAnsi="Arial" w:eastAsia="Arial"/>
          <w:color w:val="000000"/>
          <w:spacing w:val="-4"/>
          <w:w w:val="100"/>
          <w:sz w:val="28"/>
          <w:vertAlign w:val="baseline"/>
          <w:lang w:val="en-US"/>
        </w:rPr>
        <w:t xml:space="preserve"> unlawfully in a dwelling with the intent to commit a crime therein, and when, in effecting entry or while in the dwelling or in immediate flight therefrom, that person [</w:t>
      </w:r>
      <w:r>
        <w:rPr>
          <w:rFonts w:ascii="Arial" w:hAnsi="Arial" w:eastAsia="Arial"/>
          <w:i w:val="true"/>
          <w:color w:val="000000"/>
          <w:spacing w:val="-4"/>
          <w:w w:val="100"/>
          <w:sz w:val="28"/>
          <w:vertAlign w:val="baseline"/>
          <w:lang w:val="en-US"/>
        </w:rPr>
        <w:t xml:space="preserve">or </w:t>
      </w:r>
      <w:r>
        <w:rPr>
          <w:rFonts w:ascii="Arial" w:hAnsi="Arial" w:eastAsia="Arial"/>
          <w:color w:val="000000"/>
          <w:spacing w:val="-4"/>
          <w:w w:val="100"/>
          <w:sz w:val="28"/>
          <w:vertAlign w:val="baseline"/>
          <w:lang w:val="en-US"/>
        </w:rPr>
        <w:t xml:space="preserve">another participant in the crime] causes physical injury to any person who is not a participant in the crime.</w:t>
      </w:r>
    </w:p>
    <w:p>
      <w:pPr>
        <w:pageBreakBefore w:val="false"/>
        <w:spacing w:before="316" w:after="0" w:line="32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31" w:after="0" w:line="31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DWELLING is a building which is usually occupied by a person lodging therein at night.</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32" w:after="0" w:line="315"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8" w:after="972"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addition to its ordinary meaning, the term building includes any structure, vehicle or watercraft used for overnight lodging of persons, or used by persons for carrying on business</w:t>
      </w:r>
    </w:p>
    <w:p>
      <w:pPr>
        <w:pageBreakBefore w:val="false"/>
        <w:spacing w:before="272" w:after="0" w:line="278" w:lineRule="exact"/>
        <w:ind w:right="0" w:left="0" w:firstLine="360"/>
        <w:jc w:val="both"/>
        <w:textAlignment w:val="baseline"/>
        <w:rPr>
          <w:rFonts w:ascii="Arial" w:hAnsi="Arial" w:eastAsia="Arial"/>
          <w:color w:val="000000"/>
          <w:spacing w:val="0"/>
          <w:w w:val="100"/>
          <w:sz w:val="16"/>
          <w:vertAlign w:val="superscript"/>
          <w:lang w:val="en-US"/>
        </w:rPr>
      </w:pPr>
      <w:r>
        <w:pict>
          <v:line strokeweight="0.95pt" strokecolor="#000000" from="108pt,528.7pt" to="252.05pt,528.7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1</w:t>
      </w:r>
      <w:r>
        <w:rPr>
          <w:rFonts w:ascii="Arial" w:hAnsi="Arial" w:eastAsia="Arial"/>
          <w:color w:val="000000"/>
          <w:spacing w:val="0"/>
          <w:w w:val="100"/>
          <w:sz w:val="24"/>
          <w:vertAlign w:val="baseline"/>
          <w:lang w:val="en-US"/>
        </w:rPr>
        <w:t xml:space="preserve"> The January, 2013, revision was for the purpose of expanding the definition of “unlawfully” and of “intent” when the burglary is premised on a violation of an order of protection in order to accord with the dictates of </w:t>
      </w:r>
      <w:r>
        <w:rPr>
          <w:rFonts w:ascii="Arial" w:hAnsi="Arial" w:eastAsia="Arial"/>
          <w:i w:val="true"/>
          <w:color w:val="000000"/>
          <w:spacing w:val="0"/>
          <w:w w:val="100"/>
          <w:sz w:val="24"/>
          <w:vertAlign w:val="baseline"/>
          <w:lang w:val="en-US"/>
        </w:rPr>
        <w:t xml:space="preserve">People v Lewis</w:t>
      </w:r>
      <w:r>
        <w:rPr>
          <w:rFonts w:ascii="Arial" w:hAnsi="Arial" w:eastAsia="Arial"/>
          <w:color w:val="000000"/>
          <w:spacing w:val="0"/>
          <w:w w:val="100"/>
          <w:sz w:val="24"/>
          <w:vertAlign w:val="baseline"/>
          <w:lang w:val="en-US"/>
        </w:rPr>
        <w:t xml:space="preserve">, 5 NY3d 546 (2005) and </w:t>
      </w:r>
      <w:r>
        <w:rPr>
          <w:rFonts w:ascii="Arial" w:hAnsi="Arial" w:eastAsia="Arial"/>
          <w:i w:val="true"/>
          <w:color w:val="000000"/>
          <w:spacing w:val="0"/>
          <w:w w:val="100"/>
          <w:sz w:val="24"/>
          <w:vertAlign w:val="baseline"/>
          <w:lang w:val="en-US"/>
        </w:rPr>
        <w:t xml:space="preserve">People v Cajigas</w:t>
      </w:r>
      <w:r>
        <w:rPr>
          <w:rFonts w:ascii="Arial" w:hAnsi="Arial" w:eastAsia="Arial"/>
          <w:color w:val="000000"/>
          <w:spacing w:val="0"/>
          <w:w w:val="100"/>
          <w:sz w:val="24"/>
          <w:vertAlign w:val="baseline"/>
          <w:lang w:val="en-US"/>
        </w:rPr>
        <w:t xml:space="preserve">,19 NY3d 697 (2012).</w:t>
      </w:r>
    </w:p>
    <w:p>
      <w:pPr>
        <w:pageBreakBefore w:val="false"/>
        <w:spacing w:before="252" w:after="0" w:line="278" w:lineRule="exact"/>
        <w:ind w:right="0" w:left="0" w:firstLine="36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2</w:t>
      </w:r>
      <w:r>
        <w:rPr>
          <w:rFonts w:ascii="Arial" w:hAnsi="Arial" w:eastAsia="Arial"/>
          <w:color w:val="000000"/>
          <w:spacing w:val="0"/>
          <w:w w:val="100"/>
          <w:sz w:val="24"/>
          <w:vertAlign w:val="baseline"/>
          <w:lang w:val="en-US"/>
        </w:rPr>
        <w:t xml:space="preserve"> When the accusation is that the defendant entered lawfully upon the premises but remained unlawfully after license and privilege to be on the premises terminated, substitute the word “remains” for the word “enters” as indicated by the use of brackets. </w:t>
      </w:r>
      <w:r>
        <w:rPr>
          <w:rFonts w:ascii="Arial" w:hAnsi="Arial" w:eastAsia="Arial"/>
          <w:i w:val="true"/>
          <w:color w:val="000000"/>
          <w:spacing w:val="0"/>
          <w:w w:val="100"/>
          <w:sz w:val="24"/>
          <w:vertAlign w:val="baseline"/>
          <w:lang w:val="en-US"/>
        </w:rPr>
        <w:t xml:space="preserve">See People v Gaines</w:t>
      </w:r>
      <w:r>
        <w:rPr>
          <w:rFonts w:ascii="Arial" w:hAnsi="Arial" w:eastAsia="Arial"/>
          <w:color w:val="000000"/>
          <w:spacing w:val="0"/>
          <w:w w:val="100"/>
          <w:sz w:val="24"/>
          <w:vertAlign w:val="baseline"/>
          <w:lang w:val="en-US"/>
        </w:rPr>
        <w:t xml:space="preserve">, 74 NY2d 358 (1989).</w:t>
      </w:r>
    </w:p>
    <w:p>
      <w:pPr>
        <w:pageBreakBefore w:val="false"/>
        <w:spacing w:before="255" w:after="0" w:line="278" w:lineRule="exact"/>
        <w:ind w:right="0" w:left="360" w:firstLine="0"/>
        <w:jc w:val="left"/>
        <w:textAlignment w:val="baseline"/>
        <w:rPr>
          <w:rFonts w:ascii="Arial" w:hAnsi="Arial" w:eastAsia="Arial"/>
          <w:color w:val="000000"/>
          <w:spacing w:val="-1"/>
          <w:w w:val="100"/>
          <w:sz w:val="16"/>
          <w:vertAlign w:val="superscript"/>
          <w:lang w:val="en-US"/>
        </w:rPr>
      </w:pPr>
      <w:r>
        <w:rPr>
          <w:rFonts w:ascii="Arial" w:hAnsi="Arial" w:eastAsia="Arial"/>
          <w:color w:val="000000"/>
          <w:spacing w:val="-1"/>
          <w:w w:val="100"/>
          <w:sz w:val="16"/>
          <w:vertAlign w:val="superscript"/>
          <w:lang w:val="en-US"/>
        </w:rPr>
        <w:t xml:space="preserve">3</w:t>
      </w:r>
      <w:r>
        <w:rPr>
          <w:rFonts w:ascii="Arial" w:hAnsi="Arial" w:eastAsia="Arial"/>
          <w:color w:val="000000"/>
          <w:spacing w:val="-1"/>
          <w:w w:val="100"/>
          <w:sz w:val="24"/>
          <w:vertAlign w:val="baseline"/>
          <w:lang w:val="en-US"/>
        </w:rPr>
        <w:t xml:space="preserve"> Penal Law § 140.00(3).</w:t>
      </w:r>
    </w:p>
    <w:p>
      <w:pPr>
        <w:sectPr>
          <w:type w:val="nextPage"/>
          <w:pgSz w:w="12240" w:h="15840" w:orient="portrait"/>
          <w:pgMar w:bottom="1004" w:top="1440" w:right="2140" w:left="2160" w:header="720" w:footer="720"/>
          <w:titlePg w:val="false"/>
          <w:textDirection w:val="lrTb"/>
        </w:sectPr>
      </w:pPr>
    </w:p>
    <w:p>
      <w:pPr>
        <w:pageBreakBefore w:val="false"/>
        <w:spacing w:before="2"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therein, or used as an elementary or secondary school, or an inclosed motor truck, or an inclosed motor truck trailer.</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28"/>
          <w:vertAlign w:val="baseline"/>
          <w:lang w:val="en-US"/>
        </w:rPr>
        <w:t xml:space="preserve">]</w:t>
      </w:r>
    </w:p>
    <w:p>
      <w:pPr>
        <w:pageBreakBefore w:val="false"/>
        <w:spacing w:before="333" w:after="0" w:line="314"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Where a building consists of two or more units separately secured or occupied, each unit shall be deemed both a separate building in itself and a part of the main building.</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28"/>
          <w:vertAlign w:val="baseline"/>
          <w:lang w:val="en-US"/>
        </w:rPr>
        <w:t xml:space="preserve">]</w:t>
      </w:r>
    </w:p>
    <w:p>
      <w:pPr>
        <w:pageBreakBefore w:val="false"/>
        <w:spacing w:before="330"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enters [remains] UNLAWFULLY in a dwelling when that person has no license or privilege to enter [remain] in that dwelling.</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28"/>
          <w:vertAlign w:val="baseline"/>
          <w:lang w:val="en-US"/>
        </w:rPr>
        <w:t xml:space="preserve"> To have no license or privilege to enter [remain] means to have no right, permission or authority to do so.</w:t>
      </w:r>
    </w:p>
    <w:p>
      <w:pPr>
        <w:pageBreakBefore w:val="false"/>
        <w:spacing w:before="325" w:after="0" w:line="314"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who is subject to and knows of an order of protection directing him/her to stay away from a building which he/she knowingly enters, even by invitation or permission, UNLAWFULLY enters that building.</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28"/>
          <w:vertAlign w:val="baseline"/>
          <w:lang w:val="en-US"/>
        </w:rPr>
        <w:t xml:space="preserve">]</w:t>
      </w:r>
    </w:p>
    <w:p>
      <w:pPr>
        <w:pageBreakBefore w:val="false"/>
        <w:spacing w:before="334" w:after="0" w:line="314"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who, regardless of his or her intent, enters [remains] in or upon premises which are at the time open to the public does so with license and privilege unless he or she defies a lawful order not to enter [remain], personally communicated to him or her by the owner of such premises or other authorized person.</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28"/>
          <w:vertAlign w:val="baseline"/>
          <w:lang w:val="en-US"/>
        </w:rPr>
        <w:t xml:space="preserve">]</w:t>
      </w:r>
    </w:p>
    <w:p>
      <w:pPr>
        <w:pageBreakBefore w:val="false"/>
        <w:spacing w:before="661" w:after="349" w:line="314"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272" w:after="0" w:line="279" w:lineRule="exact"/>
        <w:ind w:right="0" w:left="360" w:firstLine="0"/>
        <w:jc w:val="left"/>
        <w:textAlignment w:val="baseline"/>
        <w:rPr>
          <w:rFonts w:ascii="Arial" w:hAnsi="Arial" w:eastAsia="Arial"/>
          <w:color w:val="000000"/>
          <w:spacing w:val="-1"/>
          <w:w w:val="100"/>
          <w:sz w:val="16"/>
          <w:vertAlign w:val="superscript"/>
          <w:lang w:val="en-US"/>
        </w:rPr>
      </w:pPr>
      <w:r>
        <w:pict>
          <v:line strokeweight="1.2pt" strokecolor="#000000" from="108pt,559.7pt" to="252.05pt,559.7pt" style="position:absolute;mso-position-horizontal-relative:page;mso-position-vertical-relative:page;">
            <v:stroke dashstyle="solid"/>
          </v:line>
        </w:pict>
      </w:r>
      <w:r>
        <w:rPr>
          <w:rFonts w:ascii="Arial" w:hAnsi="Arial" w:eastAsia="Arial"/>
          <w:color w:val="000000"/>
          <w:spacing w:val="-1"/>
          <w:w w:val="100"/>
          <w:sz w:val="16"/>
          <w:vertAlign w:val="superscript"/>
          <w:lang w:val="en-US"/>
        </w:rPr>
        <w:t xml:space="preserve">4</w:t>
      </w:r>
      <w:r>
        <w:rPr>
          <w:rFonts w:ascii="Arial" w:hAnsi="Arial" w:eastAsia="Arial"/>
          <w:color w:val="000000"/>
          <w:spacing w:val="-1"/>
          <w:w w:val="100"/>
          <w:sz w:val="24"/>
          <w:vertAlign w:val="baseline"/>
          <w:lang w:val="en-US"/>
        </w:rPr>
        <w:t xml:space="preserve"> Penal Law § 140.00(2).</w:t>
      </w:r>
    </w:p>
    <w:p>
      <w:pPr>
        <w:pageBreakBefore w:val="false"/>
        <w:spacing w:before="263" w:after="0" w:line="275" w:lineRule="exact"/>
        <w:ind w:right="0" w:left="360" w:firstLine="0"/>
        <w:jc w:val="left"/>
        <w:textAlignment w:val="baseline"/>
        <w:rPr>
          <w:rFonts w:ascii="Arial" w:hAnsi="Arial" w:eastAsia="Arial"/>
          <w:color w:val="000000"/>
          <w:spacing w:val="-1"/>
          <w:w w:val="100"/>
          <w:sz w:val="16"/>
          <w:vertAlign w:val="superscript"/>
          <w:lang w:val="en-US"/>
        </w:rPr>
      </w:pPr>
      <w:r>
        <w:rPr>
          <w:rFonts w:ascii="Arial" w:hAnsi="Arial" w:eastAsia="Arial"/>
          <w:color w:val="000000"/>
          <w:spacing w:val="-1"/>
          <w:w w:val="100"/>
          <w:sz w:val="16"/>
          <w:vertAlign w:val="superscript"/>
          <w:lang w:val="en-US"/>
        </w:rPr>
        <w:t xml:space="preserve">5</w:t>
      </w:r>
      <w:r>
        <w:rPr>
          <w:rFonts w:ascii="Arial" w:hAnsi="Arial" w:eastAsia="Arial"/>
          <w:color w:val="000000"/>
          <w:spacing w:val="-1"/>
          <w:w w:val="100"/>
          <w:sz w:val="24"/>
          <w:vertAlign w:val="baseline"/>
          <w:lang w:val="en-US"/>
        </w:rPr>
        <w:t xml:space="preserve"> Penal Law § 140.00(2).</w:t>
      </w:r>
    </w:p>
    <w:p>
      <w:pPr>
        <w:pageBreakBefore w:val="false"/>
        <w:spacing w:before="263" w:after="0" w:line="275" w:lineRule="exact"/>
        <w:ind w:right="0" w:left="360" w:firstLine="0"/>
        <w:jc w:val="left"/>
        <w:textAlignment w:val="baseline"/>
        <w:rPr>
          <w:rFonts w:ascii="Arial" w:hAnsi="Arial" w:eastAsia="Arial"/>
          <w:color w:val="000000"/>
          <w:spacing w:val="-1"/>
          <w:w w:val="100"/>
          <w:sz w:val="16"/>
          <w:vertAlign w:val="superscript"/>
          <w:lang w:val="en-US"/>
        </w:rPr>
      </w:pPr>
      <w:r>
        <w:rPr>
          <w:rFonts w:ascii="Arial" w:hAnsi="Arial" w:eastAsia="Arial"/>
          <w:color w:val="000000"/>
          <w:spacing w:val="-1"/>
          <w:w w:val="100"/>
          <w:sz w:val="16"/>
          <w:vertAlign w:val="superscript"/>
          <w:lang w:val="en-US"/>
        </w:rPr>
        <w:t xml:space="preserve">6</w:t>
      </w:r>
      <w:r>
        <w:rPr>
          <w:rFonts w:ascii="Arial" w:hAnsi="Arial" w:eastAsia="Arial"/>
          <w:color w:val="000000"/>
          <w:spacing w:val="-1"/>
          <w:w w:val="100"/>
          <w:sz w:val="24"/>
          <w:vertAlign w:val="baseline"/>
          <w:lang w:val="en-US"/>
        </w:rPr>
        <w:t xml:space="preserve"> Penal Law § 140.00(5).</w:t>
      </w:r>
    </w:p>
    <w:p>
      <w:pPr>
        <w:pageBreakBefore w:val="false"/>
        <w:spacing w:before="260" w:after="0" w:line="275" w:lineRule="exact"/>
        <w:ind w:right="0" w:left="36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7</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footnote 1.</w:t>
      </w:r>
    </w:p>
    <w:p>
      <w:pPr>
        <w:pageBreakBefore w:val="false"/>
        <w:spacing w:before="265" w:after="243" w:line="275" w:lineRule="exact"/>
        <w:ind w:right="0" w:left="360" w:firstLine="0"/>
        <w:jc w:val="left"/>
        <w:textAlignment w:val="baseline"/>
        <w:rPr>
          <w:rFonts w:ascii="Arial" w:hAnsi="Arial" w:eastAsia="Arial"/>
          <w:color w:val="000000"/>
          <w:spacing w:val="-1"/>
          <w:w w:val="100"/>
          <w:sz w:val="16"/>
          <w:vertAlign w:val="superscript"/>
          <w:lang w:val="en-US"/>
        </w:rPr>
      </w:pPr>
      <w:r>
        <w:rPr>
          <w:rFonts w:ascii="Arial" w:hAnsi="Arial" w:eastAsia="Arial"/>
          <w:color w:val="000000"/>
          <w:spacing w:val="-1"/>
          <w:w w:val="100"/>
          <w:sz w:val="16"/>
          <w:vertAlign w:val="superscript"/>
          <w:lang w:val="en-US"/>
        </w:rPr>
        <w:t xml:space="preserve">8</w:t>
      </w:r>
      <w:r>
        <w:rPr>
          <w:rFonts w:ascii="Arial" w:hAnsi="Arial" w:eastAsia="Arial"/>
          <w:color w:val="000000"/>
          <w:spacing w:val="-1"/>
          <w:w w:val="100"/>
          <w:sz w:val="24"/>
          <w:vertAlign w:val="baseline"/>
          <w:lang w:val="en-US"/>
        </w:rPr>
        <w:t xml:space="preserve"> Penal Law § 140.00(5).</w:t>
      </w:r>
    </w:p>
    <w:p>
      <w:pPr>
        <w:pageBreakBefore w:val="false"/>
        <w:spacing w:before="2" w:after="0" w:line="275"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2</w:t>
      </w:r>
    </w:p>
    <w:p>
      <w:pPr>
        <w:sectPr>
          <w:type w:val="nextPage"/>
          <w:pgSz w:w="12240" w:h="15840" w:orient="portrait"/>
          <w:pgMar w:bottom="1024" w:top="1440" w:right="2140" w:left="2160" w:header="720" w:footer="720"/>
          <w:titlePg w:val="false"/>
          <w:textDirection w:val="lrTb"/>
        </w:sectPr>
      </w:pPr>
    </w:p>
    <w:p>
      <w:pPr>
        <w:pageBreakBefore w:val="false"/>
        <w:spacing w:before="0"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license or privilege to enter [remain] in a building which is only partly open to the public is not a license or privilege to enter [remain], in that part of the building which is not open to the public.</w:t>
      </w:r>
      <w:r>
        <w:rPr>
          <w:rFonts w:ascii="Arial" w:hAnsi="Arial" w:eastAsia="Arial"/>
          <w:color w:val="000000"/>
          <w:spacing w:val="0"/>
          <w:w w:val="100"/>
          <w:sz w:val="28"/>
          <w:vertAlign w:val="superscript"/>
          <w:lang w:val="en-US"/>
        </w:rPr>
        <w:t xml:space="preserve">9</w:t>
      </w:r>
      <w:r>
        <w:rPr>
          <w:rFonts w:ascii="Arial" w:hAnsi="Arial" w:eastAsia="Arial"/>
          <w:color w:val="000000"/>
          <w:spacing w:val="0"/>
          <w:w w:val="100"/>
          <w:sz w:val="28"/>
          <w:vertAlign w:val="baseline"/>
          <w:lang w:val="en-US"/>
        </w:rPr>
        <w:t xml:space="preserve">]</w:t>
      </w:r>
    </w:p>
    <w:p>
      <w:pPr>
        <w:pageBreakBefore w:val="false"/>
        <w:spacing w:before="334" w:after="0" w:line="31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KNOWINGLY enters [remains] unlawfully in a dwelling when that person is aware that he or she is entering [remaining] in such dwelling without license or privilege to do</w:t>
      </w:r>
    </w:p>
    <w:p>
      <w:pPr>
        <w:pageBreakBefore w:val="false"/>
        <w:spacing w:before="0" w:after="0" w:line="297" w:lineRule="exact"/>
        <w:ind w:right="0" w:left="0" w:firstLine="0"/>
        <w:jc w:val="left"/>
        <w:textAlignment w:val="baseline"/>
        <w:rPr>
          <w:rFonts w:ascii="Arial" w:hAnsi="Arial" w:eastAsia="Arial"/>
          <w:color w:val="000000"/>
          <w:spacing w:val="-21"/>
          <w:w w:val="100"/>
          <w:sz w:val="28"/>
          <w:vertAlign w:val="baseline"/>
          <w:lang w:val="en-US"/>
        </w:rPr>
      </w:pPr>
      <w:r>
        <w:rPr>
          <w:rFonts w:ascii="Arial" w:hAnsi="Arial" w:eastAsia="Arial"/>
          <w:color w:val="000000"/>
          <w:spacing w:val="-21"/>
          <w:w w:val="100"/>
          <w:sz w:val="28"/>
          <w:vertAlign w:val="baseline"/>
          <w:lang w:val="en-US"/>
        </w:rPr>
        <w:t xml:space="preserve">so.</w:t>
      </w:r>
      <w:r>
        <w:rPr>
          <w:rFonts w:ascii="Arial" w:hAnsi="Arial" w:eastAsia="Arial"/>
          <w:color w:val="000000"/>
          <w:spacing w:val="-21"/>
          <w:w w:val="100"/>
          <w:sz w:val="28"/>
          <w:vertAlign w:val="superscript"/>
          <w:lang w:val="en-US"/>
        </w:rPr>
        <w:t xml:space="preserve">10</w:t>
      </w:r>
      <w:r>
        <w:rPr>
          <w:rFonts w:ascii="Arial" w:hAnsi="Arial" w:eastAsia="Arial"/>
          <w:color w:val="000000"/>
          <w:spacing w:val="-21"/>
          <w:w w:val="100"/>
          <w:sz w:val="17"/>
          <w:vertAlign w:val="baseline"/>
          <w:lang w:val="en-US"/>
        </w:rPr>
        <w:t xml:space="preserve">
</w:t>
      </w:r>
    </w:p>
    <w:p>
      <w:pPr>
        <w:pageBreakBefore w:val="false"/>
        <w:spacing w:before="373"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w:t>
      </w:r>
      <w:r>
        <w:rPr>
          <w:rFonts w:ascii="Arial" w:hAnsi="Arial" w:eastAsia="Arial"/>
          <w:color w:val="000000"/>
          <w:spacing w:val="0"/>
          <w:w w:val="100"/>
          <w:sz w:val="28"/>
          <w:vertAlign w:val="superscript"/>
          <w:lang w:val="en-US"/>
        </w:rPr>
        <w:t xml:space="preserve">11</w:t>
      </w:r>
      <w:r>
        <w:rPr>
          <w:rFonts w:ascii="Arial" w:hAnsi="Arial" w:eastAsia="Arial"/>
          <w:color w:val="000000"/>
          <w:spacing w:val="0"/>
          <w:w w:val="100"/>
          <w:sz w:val="28"/>
          <w:vertAlign w:val="baseline"/>
          <w:lang w:val="en-US"/>
        </w:rPr>
        <w:t xml:space="preserve"> Thus, a person has the intent to commit a crime in a dwelling when that person's conscious objective or purpose is to commit a crime in that dwelling.</w:t>
      </w:r>
    </w:p>
    <w:p>
      <w:pPr>
        <w:pageBreakBefore w:val="false"/>
        <w:spacing w:before="330" w:after="0" w:line="314"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2"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It is not enough that a person, who is subject to and knows of an order of protection prohibiting entry into a dwelling, intended to violate the order by entering the building. That person must have intended to violate some other provision of the order or to commit a separate crime therein.</w:t>
      </w:r>
      <w:r>
        <w:rPr>
          <w:rFonts w:ascii="Arial" w:hAnsi="Arial" w:eastAsia="Arial"/>
          <w:color w:val="000000"/>
          <w:spacing w:val="-3"/>
          <w:w w:val="100"/>
          <w:sz w:val="28"/>
          <w:vertAlign w:val="superscript"/>
          <w:lang w:val="en-US"/>
        </w:rPr>
        <w:t xml:space="preserve">12</w:t>
      </w:r>
      <w:r>
        <w:rPr>
          <w:rFonts w:ascii="Arial" w:hAnsi="Arial" w:eastAsia="Arial"/>
          <w:color w:val="000000"/>
          <w:spacing w:val="-3"/>
          <w:w w:val="100"/>
          <w:sz w:val="28"/>
          <w:vertAlign w:val="baseline"/>
          <w:lang w:val="en-US"/>
        </w:rPr>
        <w:t xml:space="preserve">]</w:t>
      </w:r>
    </w:p>
    <w:p>
      <w:pPr>
        <w:pageBreakBefore w:val="false"/>
        <w:spacing w:before="330" w:after="1195"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The crime of burglary is separate and distinct from any crime which a person may commit within the dwelling. The crime of burglary is complete when a person knowingly enters [remains] in a dwelling unlawfully and does so with the intent to commit a crime in the dwelling, regardless of whether that person ever commits, or even attempts to commit, any crime in the dwelling.</w:t>
      </w:r>
    </w:p>
    <w:p>
      <w:pPr>
        <w:pageBreakBefore w:val="false"/>
        <w:spacing w:before="259" w:after="0" w:line="306" w:lineRule="exact"/>
        <w:ind w:right="0" w:left="360" w:firstLine="0"/>
        <w:jc w:val="left"/>
        <w:textAlignment w:val="baseline"/>
        <w:rPr>
          <w:rFonts w:ascii="Arial" w:hAnsi="Arial" w:eastAsia="Arial"/>
          <w:color w:val="000000"/>
          <w:spacing w:val="-1"/>
          <w:w w:val="100"/>
          <w:sz w:val="16"/>
          <w:vertAlign w:val="superscript"/>
          <w:lang w:val="en-US"/>
        </w:rPr>
      </w:pPr>
      <w:r>
        <w:pict>
          <v:line strokeweight="1.2pt" strokecolor="#000000" from="107.85pt,586.55pt" to="252.05pt,586.55pt" style="position:absolute;mso-position-horizontal-relative:page;mso-position-vertical-relative:page;">
            <v:stroke dashstyle="solid"/>
          </v:line>
        </w:pict>
      </w:r>
      <w:r>
        <w:rPr>
          <w:rFonts w:ascii="Arial" w:hAnsi="Arial" w:eastAsia="Arial"/>
          <w:color w:val="000000"/>
          <w:spacing w:val="-1"/>
          <w:w w:val="100"/>
          <w:sz w:val="16"/>
          <w:vertAlign w:val="superscript"/>
          <w:lang w:val="en-US"/>
        </w:rPr>
        <w:t xml:space="preserve">9</w:t>
      </w:r>
      <w:r>
        <w:rPr>
          <w:rFonts w:ascii="Arial" w:hAnsi="Arial" w:eastAsia="Arial"/>
          <w:color w:val="000000"/>
          <w:spacing w:val="-1"/>
          <w:w w:val="100"/>
          <w:sz w:val="24"/>
          <w:vertAlign w:val="baseline"/>
          <w:lang w:val="en-US"/>
        </w:rPr>
        <w:t xml:space="preserve"> Penal Law § 140.00(5)</w:t>
      </w:r>
      <w:r>
        <w:rPr>
          <w:rFonts w:ascii="Arial" w:hAnsi="Arial" w:eastAsia="Arial"/>
          <w:color w:val="000000"/>
          <w:spacing w:val="-1"/>
          <w:w w:val="100"/>
          <w:sz w:val="26"/>
          <w:vertAlign w:val="baseline"/>
          <w:lang w:val="en-US"/>
        </w:rPr>
        <w:t xml:space="preserve">.</w:t>
      </w:r>
    </w:p>
    <w:p>
      <w:pPr>
        <w:pageBreakBefore w:val="false"/>
        <w:spacing w:before="246" w:after="0" w:line="277" w:lineRule="exact"/>
        <w:ind w:right="0" w:left="360" w:firstLine="0"/>
        <w:jc w:val="left"/>
        <w:textAlignment w:val="baseline"/>
        <w:rPr>
          <w:rFonts w:ascii="Arial" w:hAnsi="Arial" w:eastAsia="Arial"/>
          <w:color w:val="000000"/>
          <w:spacing w:val="-1"/>
          <w:w w:val="100"/>
          <w:sz w:val="16"/>
          <w:vertAlign w:val="superscript"/>
          <w:lang w:val="en-US"/>
        </w:rPr>
      </w:pPr>
      <w:r>
        <w:rPr>
          <w:rFonts w:ascii="Arial" w:hAnsi="Arial" w:eastAsia="Arial"/>
          <w:color w:val="000000"/>
          <w:spacing w:val="-1"/>
          <w:w w:val="100"/>
          <w:sz w:val="16"/>
          <w:vertAlign w:val="superscript"/>
          <w:lang w:val="en-US"/>
        </w:rPr>
        <w:t xml:space="preserve">10</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15.05(2).</w:t>
      </w:r>
    </w:p>
    <w:p>
      <w:pPr>
        <w:pageBreakBefore w:val="false"/>
        <w:spacing w:before="260" w:after="0" w:line="278" w:lineRule="exact"/>
        <w:ind w:right="0" w:left="360" w:firstLine="0"/>
        <w:jc w:val="left"/>
        <w:textAlignment w:val="baseline"/>
        <w:rPr>
          <w:rFonts w:ascii="Arial" w:hAnsi="Arial" w:eastAsia="Arial"/>
          <w:color w:val="000000"/>
          <w:spacing w:val="-1"/>
          <w:w w:val="100"/>
          <w:sz w:val="16"/>
          <w:vertAlign w:val="superscript"/>
          <w:lang w:val="en-US"/>
        </w:rPr>
      </w:pPr>
      <w:r>
        <w:rPr>
          <w:rFonts w:ascii="Arial" w:hAnsi="Arial" w:eastAsia="Arial"/>
          <w:color w:val="000000"/>
          <w:spacing w:val="-1"/>
          <w:w w:val="100"/>
          <w:sz w:val="16"/>
          <w:vertAlign w:val="superscript"/>
          <w:lang w:val="en-US"/>
        </w:rPr>
        <w:t xml:space="preserve">11</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15.05(1).</w:t>
      </w:r>
    </w:p>
    <w:p>
      <w:pPr>
        <w:pageBreakBefore w:val="false"/>
        <w:spacing w:before="255" w:after="252" w:line="275" w:lineRule="exact"/>
        <w:ind w:right="0" w:left="36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12</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footnote 1.</w:t>
      </w:r>
    </w:p>
    <w:p>
      <w:pPr>
        <w:pageBreakBefore w:val="false"/>
        <w:spacing w:before="2" w:after="0" w:line="275"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3</w:t>
      </w:r>
    </w:p>
    <w:p>
      <w:pPr>
        <w:sectPr>
          <w:type w:val="nextPage"/>
          <w:pgSz w:w="12240" w:h="15840" w:orient="portrait"/>
          <w:pgMar w:bottom="1024" w:top="1440" w:right="2143" w:left="2157" w:header="720" w:footer="720"/>
          <w:titlePg w:val="false"/>
          <w:textDirection w:val="lrTb"/>
        </w:sectPr>
      </w:pPr>
    </w:p>
    <w:p>
      <w:pPr>
        <w:pageBreakBefore w:val="false"/>
        <w:spacing w:before="13" w:after="0" w:line="31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PHYSICAL INJURY means impairment of physical condition or substantial pain.</w:t>
      </w:r>
      <w:r>
        <w:rPr>
          <w:rFonts w:ascii="Arial" w:hAnsi="Arial" w:eastAsia="Arial"/>
          <w:color w:val="000000"/>
          <w:spacing w:val="0"/>
          <w:w w:val="100"/>
          <w:sz w:val="28"/>
          <w:vertAlign w:val="superscript"/>
          <w:lang w:val="en-US"/>
        </w:rPr>
        <w:t xml:space="preserve">13</w:t>
      </w:r>
      <w:r>
        <w:rPr>
          <w:rFonts w:ascii="Arial" w:hAnsi="Arial" w:eastAsia="Arial"/>
          <w:color w:val="000000"/>
          <w:spacing w:val="0"/>
          <w:w w:val="100"/>
          <w:sz w:val="17"/>
          <w:vertAlign w:val="baseline"/>
          <w:lang w:val="en-US"/>
        </w:rPr>
        <w:t xml:space="preserve">
</w:t>
      </w:r>
    </w:p>
    <w:p>
      <w:pPr>
        <w:pageBreakBefore w:val="false"/>
        <w:spacing w:before="332"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four elements:</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3"/>
          <w:u w:val="single"/>
          <w:vertAlign w:val="baseline"/>
          <w:lang w:val="en-US"/>
        </w:rPr>
        <w:t xml:space="preserve"> (defendant's name) </w:t>
      </w:r>
      <w:r>
        <w:rPr>
          <w:rFonts w:ascii="Arial" w:hAnsi="Arial" w:eastAsia="Arial"/>
          <w:color w:val="000000"/>
          <w:spacing w:val="0"/>
          <w:w w:val="100"/>
          <w:sz w:val="28"/>
          <w:vertAlign w:val="baseline"/>
          <w:lang w:val="en-US"/>
        </w:rPr>
        <w:t xml:space="preserve"> , unlawfully entered [remained] in a dwelling located at </w:t>
      </w:r>
      <w:r>
        <w:rPr>
          <w:rFonts w:ascii="Arial" w:hAnsi="Arial" w:eastAsia="Arial"/>
          <w:i w:val="true"/>
          <w:color w:val="000000"/>
          <w:spacing w:val="0"/>
          <w:w w:val="100"/>
          <w:sz w:val="23"/>
          <w:u w:val="single"/>
          <w:vertAlign w:val="baseline"/>
          <w:lang w:val="en-US"/>
        </w:rPr>
        <w:t xml:space="preserve"> (specify) </w:t>
      </w:r>
      <w:r>
        <w:rPr>
          <w:rFonts w:ascii="Arial" w:hAnsi="Arial" w:eastAsia="Arial"/>
          <w:color w:val="000000"/>
          <w:spacing w:val="0"/>
          <w:w w:val="100"/>
          <w:sz w:val="28"/>
          <w:vertAlign w:val="baseline"/>
          <w:lang w:val="en-US"/>
        </w:rPr>
        <w:t xml:space="preserve"> ;</w:t>
      </w:r>
    </w:p>
    <w:p>
      <w:pPr>
        <w:pageBreakBefore w:val="false"/>
        <w:numPr>
          <w:ilvl w:val="0"/>
          <w:numId w:val="1"/>
        </w:numPr>
        <w:tabs>
          <w:tab w:val="clear" w:pos="720"/>
          <w:tab w:val="left" w:pos="1440"/>
        </w:tabs>
        <w:spacing w:before="325" w:after="0" w:line="320" w:lineRule="exact"/>
        <w:ind w:right="0" w:left="1440" w:hanging="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That the defendant did so knowingly</w:t>
      </w:r>
      <w:r>
        <w:rPr>
          <w:rFonts w:ascii="Arial" w:hAnsi="Arial" w:eastAsia="Arial"/>
          <w:color w:val="000000"/>
          <w:spacing w:val="-2"/>
          <w:w w:val="100"/>
          <w:sz w:val="28"/>
          <w:vertAlign w:val="superscript"/>
          <w:lang w:val="en-US"/>
        </w:rPr>
        <w:t xml:space="preserve">14</w:t>
      </w:r>
      <w:r>
        <w:rPr>
          <w:rFonts w:ascii="Arial" w:hAnsi="Arial" w:eastAsia="Arial"/>
          <w:color w:val="000000"/>
          <w:spacing w:val="-2"/>
          <w:w w:val="100"/>
          <w:sz w:val="28"/>
          <w:vertAlign w:val="baseline"/>
          <w:lang w:val="en-US"/>
        </w:rPr>
        <w:t xml:space="preserve">;</w:t>
      </w:r>
    </w:p>
    <w:p>
      <w:pPr>
        <w:pageBreakBefore w:val="false"/>
        <w:numPr>
          <w:ilvl w:val="0"/>
          <w:numId w:val="1"/>
        </w:numPr>
        <w:tabs>
          <w:tab w:val="clear" w:pos="720"/>
          <w:tab w:val="left" w:pos="1440"/>
        </w:tabs>
        <w:spacing w:before="346" w:after="0" w:line="312"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 the intent to commit a crime inside the dwelling</w:t>
      </w:r>
      <w:r>
        <w:rPr>
          <w:rFonts w:ascii="Arial" w:hAnsi="Arial" w:eastAsia="Arial"/>
          <w:color w:val="000000"/>
          <w:spacing w:val="0"/>
          <w:w w:val="100"/>
          <w:sz w:val="28"/>
          <w:vertAlign w:val="superscript"/>
          <w:lang w:val="en-US"/>
        </w:rPr>
        <w:t xml:space="preserve">15</w:t>
      </w:r>
      <w:r>
        <w:rPr>
          <w:rFonts w:ascii="Arial" w:hAnsi="Arial" w:eastAsia="Arial"/>
          <w:color w:val="000000"/>
          <w:spacing w:val="0"/>
          <w:w w:val="100"/>
          <w:sz w:val="28"/>
          <w:vertAlign w:val="baseline"/>
          <w:lang w:val="en-US"/>
        </w:rPr>
        <w:t xml:space="preserve">; and</w:t>
      </w:r>
    </w:p>
    <w:p>
      <w:pPr>
        <w:pageBreakBefore w:val="false"/>
        <w:numPr>
          <w:ilvl w:val="0"/>
          <w:numId w:val="1"/>
        </w:numPr>
        <w:tabs>
          <w:tab w:val="clear" w:pos="720"/>
          <w:tab w:val="left" w:pos="1440"/>
        </w:tabs>
        <w:spacing w:before="333" w:after="0" w:line="323" w:lineRule="exact"/>
        <w:ind w:right="0" w:left="1440" w:hanging="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That, in effecting entry or while in the dwelling or in immediate flight therefrom, the defendant [</w:t>
      </w:r>
      <w:r>
        <w:rPr>
          <w:rFonts w:ascii="Arial" w:hAnsi="Arial" w:eastAsia="Arial"/>
          <w:i w:val="true"/>
          <w:color w:val="000000"/>
          <w:spacing w:val="-2"/>
          <w:w w:val="100"/>
          <w:sz w:val="28"/>
          <w:vertAlign w:val="baseline"/>
          <w:lang w:val="en-US"/>
        </w:rPr>
        <w:t xml:space="preserve">or </w:t>
      </w:r>
      <w:r>
        <w:rPr>
          <w:rFonts w:ascii="Arial" w:hAnsi="Arial" w:eastAsia="Arial"/>
          <w:color w:val="000000"/>
          <w:spacing w:val="-2"/>
          <w:w w:val="100"/>
          <w:sz w:val="28"/>
          <w:vertAlign w:val="baseline"/>
          <w:lang w:val="en-US"/>
        </w:rPr>
        <w:t xml:space="preserve">another participant in the crime] caused physical injury to a person who was not a participant in the crime.</w:t>
      </w:r>
    </w:p>
    <w:p>
      <w:pPr>
        <w:pageBreakBefore w:val="false"/>
        <w:spacing w:before="324" w:after="241"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270" w:after="0" w:line="281" w:lineRule="exact"/>
        <w:ind w:right="0" w:left="0" w:firstLine="0"/>
        <w:jc w:val="center"/>
        <w:textAlignment w:val="baseline"/>
        <w:rPr>
          <w:rFonts w:ascii="Arial" w:hAnsi="Arial" w:eastAsia="Arial"/>
          <w:color w:val="000000"/>
          <w:spacing w:val="0"/>
          <w:w w:val="100"/>
          <w:sz w:val="16"/>
          <w:vertAlign w:val="superscript"/>
          <w:lang w:val="en-US"/>
        </w:rPr>
      </w:pPr>
      <w:r>
        <w:pict>
          <v:line strokeweight="1.2pt" strokecolor="#000000" from="108pt,474pt" to="252.05pt,474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13</w:t>
      </w:r>
      <w:r>
        <w:rPr>
          <w:rFonts w:ascii="Arial" w:hAnsi="Arial" w:eastAsia="Arial"/>
          <w:color w:val="000000"/>
          <w:spacing w:val="0"/>
          <w:w w:val="100"/>
          <w:sz w:val="24"/>
          <w:vertAlign w:val="baseline"/>
          <w:lang w:val="en-US"/>
        </w:rPr>
        <w:t xml:space="preserve"> Penal Law § 10.00(9); </w:t>
      </w:r>
      <w:r>
        <w:rPr>
          <w:rFonts w:ascii="Arial" w:hAnsi="Arial" w:eastAsia="Arial"/>
          <w:i w:val="true"/>
          <w:color w:val="000000"/>
          <w:spacing w:val="0"/>
          <w:w w:val="100"/>
          <w:sz w:val="24"/>
          <w:vertAlign w:val="baseline"/>
          <w:lang w:val="en-US"/>
        </w:rPr>
        <w:t xml:space="preserve">See People v. Chiddick</w:t>
      </w:r>
      <w:r>
        <w:rPr>
          <w:rFonts w:ascii="Arial" w:hAnsi="Arial" w:eastAsia="Arial"/>
          <w:color w:val="000000"/>
          <w:spacing w:val="0"/>
          <w:w w:val="100"/>
          <w:sz w:val="24"/>
          <w:vertAlign w:val="baseline"/>
          <w:lang w:val="en-US"/>
        </w:rPr>
        <w:t xml:space="preserve">, 8 NY3d 445 (2007).</w:t>
      </w:r>
    </w:p>
    <w:p>
      <w:pPr>
        <w:pageBreakBefore w:val="false"/>
        <w:spacing w:before="243" w:after="0" w:line="281" w:lineRule="exact"/>
        <w:ind w:right="0" w:left="0" w:firstLine="288"/>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14</w:t>
      </w:r>
      <w:r>
        <w:rPr>
          <w:rFonts w:ascii="Arial" w:hAnsi="Arial" w:eastAsia="Arial"/>
          <w:color w:val="000000"/>
          <w:spacing w:val="0"/>
          <w:w w:val="100"/>
          <w:sz w:val="24"/>
          <w:vertAlign w:val="baseline"/>
          <w:lang w:val="en-US"/>
        </w:rPr>
        <w:t xml:space="preserve"> “Knowingly” modifies “dwelling” for this crime because the requirement that the building be a dwelling follows and is modified by the mens rea term “knowingly.” See </w:t>
      </w:r>
      <w:r>
        <w:rPr>
          <w:rFonts w:ascii="Arial" w:hAnsi="Arial" w:eastAsia="Arial"/>
          <w:i w:val="true"/>
          <w:color w:val="000000"/>
          <w:spacing w:val="0"/>
          <w:w w:val="100"/>
          <w:sz w:val="24"/>
          <w:vertAlign w:val="baseline"/>
          <w:lang w:val="en-US"/>
        </w:rPr>
        <w:t xml:space="preserve">People v. Ryan, </w:t>
      </w:r>
      <w:r>
        <w:rPr>
          <w:rFonts w:ascii="Arial" w:hAnsi="Arial" w:eastAsia="Arial"/>
          <w:color w:val="000000"/>
          <w:spacing w:val="0"/>
          <w:w w:val="100"/>
          <w:sz w:val="24"/>
          <w:vertAlign w:val="baseline"/>
          <w:lang w:val="en-US"/>
        </w:rPr>
        <w:t xml:space="preserve">82 N.Y.2d 497 (1993). </w:t>
      </w:r>
      <w:r>
        <w:rPr>
          <w:rFonts w:ascii="Arial" w:hAnsi="Arial" w:eastAsia="Arial"/>
          <w:i w:val="true"/>
          <w:color w:val="000000"/>
          <w:spacing w:val="0"/>
          <w:w w:val="100"/>
          <w:sz w:val="24"/>
          <w:vertAlign w:val="baseline"/>
          <w:lang w:val="en-US"/>
        </w:rPr>
        <w:t xml:space="preserve">Cf. People </w:t>
      </w:r>
      <w:r>
        <w:rPr>
          <w:rFonts w:ascii="Arial" w:hAnsi="Arial" w:eastAsia="Arial"/>
          <w:color w:val="000000"/>
          <w:spacing w:val="0"/>
          <w:w w:val="100"/>
          <w:sz w:val="24"/>
          <w:vertAlign w:val="baseline"/>
          <w:lang w:val="en-US"/>
        </w:rPr>
        <w:t xml:space="preserve">v. </w:t>
      </w:r>
      <w:r>
        <w:rPr>
          <w:rFonts w:ascii="Arial" w:hAnsi="Arial" w:eastAsia="Arial"/>
          <w:i w:val="true"/>
          <w:color w:val="000000"/>
          <w:spacing w:val="0"/>
          <w:w w:val="100"/>
          <w:sz w:val="24"/>
          <w:vertAlign w:val="baseline"/>
          <w:lang w:val="en-US"/>
        </w:rPr>
        <w:t xml:space="preserve">Mitchell</w:t>
      </w:r>
      <w:r>
        <w:rPr>
          <w:rFonts w:ascii="Arial" w:hAnsi="Arial" w:eastAsia="Arial"/>
          <w:color w:val="000000"/>
          <w:spacing w:val="0"/>
          <w:w w:val="100"/>
          <w:sz w:val="24"/>
          <w:vertAlign w:val="baseline"/>
          <w:lang w:val="en-US"/>
        </w:rPr>
        <w:t xml:space="preserve">, 77 N.Y.2d 624 (1991); </w:t>
      </w:r>
      <w:r>
        <w:rPr>
          <w:rFonts w:ascii="Arial" w:hAnsi="Arial" w:eastAsia="Arial"/>
          <w:i w:val="true"/>
          <w:color w:val="000000"/>
          <w:spacing w:val="0"/>
          <w:w w:val="100"/>
          <w:sz w:val="24"/>
          <w:vertAlign w:val="baseline"/>
          <w:lang w:val="en-US"/>
        </w:rPr>
        <w:t xml:space="preserve">People v. Gonzalez</w:t>
      </w:r>
      <w:r>
        <w:rPr>
          <w:rFonts w:ascii="Arial" w:hAnsi="Arial" w:eastAsia="Arial"/>
          <w:color w:val="000000"/>
          <w:spacing w:val="0"/>
          <w:w w:val="100"/>
          <w:sz w:val="24"/>
          <w:vertAlign w:val="baseline"/>
          <w:lang w:val="en-US"/>
        </w:rPr>
        <w:t xml:space="preserve">, 240 A.D.2d 255 (1</w:t>
      </w:r>
      <w:r>
        <w:rPr>
          <w:rFonts w:ascii="Arial" w:hAnsi="Arial" w:eastAsia="Arial"/>
          <w:color w:val="000000"/>
          <w:spacing w:val="0"/>
          <w:w w:val="100"/>
          <w:sz w:val="24"/>
          <w:vertAlign w:val="superscript"/>
          <w:lang w:val="en-US"/>
        </w:rPr>
        <w:t xml:space="preserve">st</w:t>
      </w:r>
      <w:r>
        <w:rPr>
          <w:rFonts w:ascii="Arial" w:hAnsi="Arial" w:eastAsia="Arial"/>
          <w:color w:val="000000"/>
          <w:spacing w:val="0"/>
          <w:w w:val="100"/>
          <w:sz w:val="14"/>
          <w:vertAlign w:val="baseline"/>
          <w:lang w:val="en-US"/>
        </w:rPr>
        <w:t xml:space="preserve"> </w:t>
      </w:r>
      <w:r>
        <w:rPr>
          <w:rFonts w:ascii="Arial" w:hAnsi="Arial" w:eastAsia="Arial"/>
          <w:color w:val="000000"/>
          <w:spacing w:val="0"/>
          <w:w w:val="100"/>
          <w:sz w:val="24"/>
          <w:vertAlign w:val="baseline"/>
          <w:lang w:val="en-US"/>
        </w:rPr>
        <w:t xml:space="preserve">Dept. 1997); </w:t>
      </w:r>
      <w:r>
        <w:rPr>
          <w:rFonts w:ascii="Arial" w:hAnsi="Arial" w:eastAsia="Arial"/>
          <w:i w:val="true"/>
          <w:color w:val="000000"/>
          <w:spacing w:val="0"/>
          <w:w w:val="100"/>
          <w:sz w:val="24"/>
          <w:vertAlign w:val="baseline"/>
          <w:lang w:val="en-US"/>
        </w:rPr>
        <w:t xml:space="preserve">People v. Wilson</w:t>
      </w:r>
      <w:r>
        <w:rPr>
          <w:rFonts w:ascii="Arial" w:hAnsi="Arial" w:eastAsia="Arial"/>
          <w:color w:val="000000"/>
          <w:spacing w:val="0"/>
          <w:w w:val="100"/>
          <w:sz w:val="24"/>
          <w:vertAlign w:val="baseline"/>
          <w:lang w:val="en-US"/>
        </w:rPr>
        <w:t xml:space="preserve">, 245 A.D.2d 402 (2</w:t>
      </w:r>
      <w:r>
        <w:rPr>
          <w:rFonts w:ascii="Arial" w:hAnsi="Arial" w:eastAsia="Arial"/>
          <w:color w:val="000000"/>
          <w:spacing w:val="0"/>
          <w:w w:val="100"/>
          <w:sz w:val="24"/>
          <w:vertAlign w:val="superscript"/>
          <w:lang w:val="en-US"/>
        </w:rPr>
        <w:t xml:space="preserve">nd</w:t>
      </w:r>
      <w:r>
        <w:rPr>
          <w:rFonts w:ascii="Arial" w:hAnsi="Arial" w:eastAsia="Arial"/>
          <w:color w:val="000000"/>
          <w:spacing w:val="0"/>
          <w:w w:val="100"/>
          <w:sz w:val="24"/>
          <w:vertAlign w:val="baseline"/>
          <w:lang w:val="en-US"/>
        </w:rPr>
        <w:t xml:space="preserve"> Dept.1997); </w:t>
      </w:r>
      <w:r>
        <w:rPr>
          <w:rFonts w:ascii="Arial" w:hAnsi="Arial" w:eastAsia="Arial"/>
          <w:i w:val="true"/>
          <w:color w:val="000000"/>
          <w:spacing w:val="0"/>
          <w:w w:val="100"/>
          <w:sz w:val="24"/>
          <w:vertAlign w:val="baseline"/>
          <w:lang w:val="en-US"/>
        </w:rPr>
        <w:t xml:space="preserve">People v. Davis</w:t>
      </w:r>
      <w:r>
        <w:rPr>
          <w:rFonts w:ascii="Arial" w:hAnsi="Arial" w:eastAsia="Arial"/>
          <w:color w:val="000000"/>
          <w:spacing w:val="0"/>
          <w:w w:val="100"/>
          <w:sz w:val="24"/>
          <w:vertAlign w:val="baseline"/>
          <w:lang w:val="en-US"/>
        </w:rPr>
        <w:t xml:space="preserve">, 244 A.D.2d 1003, 1004 (4</w:t>
      </w:r>
      <w:r>
        <w:rPr>
          <w:rFonts w:ascii="Arial" w:hAnsi="Arial" w:eastAsia="Arial"/>
          <w:color w:val="000000"/>
          <w:spacing w:val="0"/>
          <w:w w:val="100"/>
          <w:sz w:val="24"/>
          <w:vertAlign w:val="superscript"/>
          <w:lang w:val="en-US"/>
        </w:rPr>
        <w:t xml:space="preserve">th</w:t>
      </w:r>
      <w:r>
        <w:rPr>
          <w:rFonts w:ascii="Arial" w:hAnsi="Arial" w:eastAsia="Arial"/>
          <w:color w:val="000000"/>
          <w:spacing w:val="0"/>
          <w:w w:val="100"/>
          <w:sz w:val="24"/>
          <w:vertAlign w:val="baseline"/>
          <w:lang w:val="en-US"/>
        </w:rPr>
        <w:t xml:space="preserve"> Dept. 1997).</w:t>
      </w:r>
    </w:p>
    <w:p>
      <w:pPr>
        <w:pageBreakBefore w:val="false"/>
        <w:spacing w:before="254" w:after="0" w:line="281" w:lineRule="exact"/>
        <w:ind w:right="0" w:left="0" w:firstLine="432"/>
        <w:jc w:val="both"/>
        <w:textAlignment w:val="baseline"/>
        <w:rPr>
          <w:rFonts w:ascii="Arial" w:hAnsi="Arial" w:eastAsia="Arial"/>
          <w:color w:val="000000"/>
          <w:spacing w:val="-3"/>
          <w:w w:val="100"/>
          <w:sz w:val="16"/>
          <w:vertAlign w:val="superscript"/>
          <w:lang w:val="en-US"/>
        </w:rPr>
      </w:pPr>
      <w:r>
        <w:rPr>
          <w:rFonts w:ascii="Arial" w:hAnsi="Arial" w:eastAsia="Arial"/>
          <w:color w:val="000000"/>
          <w:spacing w:val="-3"/>
          <w:w w:val="100"/>
          <w:sz w:val="16"/>
          <w:vertAlign w:val="superscript"/>
          <w:lang w:val="en-US"/>
        </w:rPr>
        <w:t xml:space="preserve">15</w:t>
      </w:r>
      <w:r>
        <w:rPr>
          <w:rFonts w:ascii="Arial" w:hAnsi="Arial" w:eastAsia="Arial"/>
          <w:color w:val="000000"/>
          <w:spacing w:val="-3"/>
          <w:w w:val="100"/>
          <w:sz w:val="24"/>
          <w:vertAlign w:val="baseline"/>
          <w:lang w:val="en-US"/>
        </w:rPr>
        <w:t xml:space="preserve"> If, in the indictment or bill of particulars, the People allege that the defendant intended a specific crime, that crime must be specified [</w:t>
      </w:r>
      <w:r>
        <w:rPr>
          <w:rFonts w:ascii="Arial" w:hAnsi="Arial" w:eastAsia="Arial"/>
          <w:i w:val="true"/>
          <w:color w:val="000000"/>
          <w:spacing w:val="-3"/>
          <w:w w:val="100"/>
          <w:sz w:val="24"/>
          <w:vertAlign w:val="baseline"/>
          <w:lang w:val="en-US"/>
        </w:rPr>
        <w:t xml:space="preserve">People v Barnes, </w:t>
      </w:r>
      <w:r>
        <w:rPr>
          <w:rFonts w:ascii="Arial" w:hAnsi="Arial" w:eastAsia="Arial"/>
          <w:color w:val="000000"/>
          <w:spacing w:val="-3"/>
          <w:w w:val="100"/>
          <w:sz w:val="24"/>
          <w:vertAlign w:val="baseline"/>
          <w:lang w:val="en-US"/>
        </w:rPr>
        <w:t xml:space="preserve">50 NY2d 375, 379 n 3 (1980)] and the third element should then be:</w:t>
      </w:r>
    </w:p>
    <w:p>
      <w:pPr>
        <w:pageBreakBefore w:val="false"/>
        <w:spacing w:before="288" w:after="0" w:line="279" w:lineRule="exact"/>
        <w:ind w:right="0" w:left="72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w:t>
      </w:r>
      <w:r>
        <w:rPr>
          <w:rFonts w:ascii="Arial" w:hAnsi="Arial" w:eastAsia="Arial"/>
          <w:b w:val="true"/>
          <w:color w:val="000000"/>
          <w:spacing w:val="0"/>
          <w:w w:val="100"/>
          <w:sz w:val="24"/>
          <w:vertAlign w:val="baseline"/>
          <w:lang w:val="en-US"/>
        </w:rPr>
        <w:t xml:space="preserve">3. That the defendant did so with the intent to commit the crime of </w:t>
      </w:r>
      <w:r>
        <w:rPr>
          <w:rFonts w:ascii="Arial" w:hAnsi="Arial" w:eastAsia="Arial"/>
          <w:b w:val="true"/>
          <w:i w:val="true"/>
          <w:color w:val="000000"/>
          <w:spacing w:val="0"/>
          <w:w w:val="100"/>
          <w:sz w:val="24"/>
          <w:u w:val="single"/>
          <w:vertAlign w:val="baseline"/>
          <w:lang w:val="en-US"/>
        </w:rPr>
        <w:t xml:space="preserve">(specify)</w:t>
      </w:r>
      <w:r>
        <w:rPr>
          <w:rFonts w:ascii="Arial" w:hAnsi="Arial" w:eastAsia="Arial"/>
          <w:b w:val="true"/>
          <w:color w:val="000000"/>
          <w:spacing w:val="0"/>
          <w:w w:val="100"/>
          <w:sz w:val="24"/>
          <w:vertAlign w:val="baseline"/>
          <w:lang w:val="en-US"/>
        </w:rPr>
        <w:t xml:space="preserve"> inside the building.</w:t>
      </w:r>
      <w:r>
        <w:rPr>
          <w:rFonts w:ascii="Arial" w:hAnsi="Arial" w:eastAsia="Arial"/>
          <w:color w:val="000000"/>
          <w:spacing w:val="0"/>
          <w:w w:val="100"/>
          <w:sz w:val="24"/>
          <w:vertAlign w:val="baseline"/>
          <w:lang w:val="en-US"/>
        </w:rPr>
        <w:t xml:space="preserve">”</w:t>
      </w:r>
    </w:p>
    <w:p>
      <w:pPr>
        <w:pageBreakBefore w:val="false"/>
        <w:spacing w:before="242" w:after="0" w:line="270"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4</w:t>
      </w:r>
    </w:p>
    <w:p>
      <w:pPr>
        <w:sectPr>
          <w:type w:val="nextPage"/>
          <w:pgSz w:w="12240" w:h="15840" w:orient="portrait"/>
          <w:pgMar w:bottom="1024" w:top="1440" w:right="2140" w:left="2160" w:header="720" w:footer="720"/>
          <w:titlePg w:val="false"/>
          <w:textDirection w:val="lrTb"/>
        </w:sectPr>
      </w:pPr>
    </w:p>
    <w:p>
      <w:pPr>
        <w:pageBreakBefore w:val="false"/>
        <w:spacing w:before="2" w:after="11706"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2" w:after="11706" w:line="326" w:lineRule="exact"/>
        <w:sectPr>
          <w:type w:val="nextPage"/>
          <w:pgSz w:w="12240" w:h="15840" w:orient="portrait"/>
          <w:pgMar w:bottom="1024" w:top="1440" w:right="2147" w:left="2153" w:header="720" w:footer="720"/>
          <w:titlePg w:val="false"/>
          <w:textDirection w:val="lrTb"/>
        </w:sectPr>
      </w:pPr>
    </w:p>
    <w:p>
      <w:pPr>
        <w:pageBreakBefore w:val="false"/>
        <w:spacing w:before="2" w:after="0" w:line="274"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5</w:t>
      </w:r>
    </w:p>
    <w:sectPr>
      <w:type w:val="continuous"/>
      <w:pgSz w:w="12240" w:h="15840" w:orient="portrait"/>
      <w:pgMar w:bottom="1024" w:top="1440" w:right="2148" w:left="2152"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