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MISCHIEF IN THE FOURTH DEGREE</w:t>
        <w:br/>
      </w:r>
      <w:r>
        <w:rPr>
          <w:rFonts w:ascii="Arial" w:hAnsi="Arial" w:eastAsia="Arial"/>
          <w:b w:val="true"/>
          <w:color w:val="000000"/>
          <w:spacing w:val="0"/>
          <w:w w:val="100"/>
          <w:sz w:val="28"/>
          <w:vertAlign w:val="baseline"/>
          <w:lang w:val="en-US"/>
        </w:rPr>
        <w:t xml:space="preserve">(Intentionally Damaging Another's Property)</w:t>
        <w:br/>
      </w:r>
      <w:r>
        <w:rPr>
          <w:rFonts w:ascii="Arial" w:hAnsi="Arial" w:eastAsia="Arial"/>
          <w:b w:val="true"/>
          <w:color w:val="000000"/>
          <w:spacing w:val="0"/>
          <w:w w:val="100"/>
          <w:sz w:val="28"/>
          <w:vertAlign w:val="baseline"/>
          <w:lang w:val="en-US"/>
        </w:rPr>
        <w:t xml:space="preserve">Penal Law § 145.00(1)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January 5, 2009)</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br/>
      </w:r>
      <w:r>
        <w:rPr>
          <w:rFonts w:ascii="Arial" w:hAnsi="Arial" w:eastAsia="Arial"/>
          <w:b w:val="true"/>
          <w:color w:val="000000"/>
          <w:spacing w:val="0"/>
          <w:w w:val="100"/>
          <w:sz w:val="28"/>
          <w:vertAlign w:val="baseline"/>
          <w:lang w:val="en-US"/>
        </w:rPr>
        <w:t xml:space="preserve">(Revised December 17, 2009)</w:t>
      </w:r>
      <w:r>
        <w:rPr>
          <w:rFonts w:ascii="Arial" w:hAnsi="Arial" w:eastAsia="Arial"/>
          <w:b w:val="true"/>
          <w:color w:val="000000"/>
          <w:spacing w:val="0"/>
          <w:w w:val="100"/>
          <w:sz w:val="28"/>
          <w:vertAlign w:val="superscript"/>
          <w:lang w:val="en-US"/>
        </w:rPr>
        <w:t xml:space="preserve">2</w:t>
      </w:r>
      <w:r>
        <w:rPr>
          <w:rFonts w:ascii="Arial" w:hAnsi="Arial" w:eastAsia="Arial"/>
          <w:b w:val="true"/>
          <w:color w:val="000000"/>
          <w:spacing w:val="0"/>
          <w:w w:val="100"/>
          <w:sz w:val="17"/>
          <w:vertAlign w:val="baseline"/>
          <w:lang w:val="en-US"/>
        </w:rPr>
        <w:t xml:space="preserve">
</w:t>
      </w:r>
    </w:p>
    <w:p>
      <w:pPr>
        <w:pageBreakBefore w:val="false"/>
        <w:spacing w:before="30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Mischief in the Fourth Degree.</w:t>
      </w:r>
    </w:p>
    <w:p>
      <w:pPr>
        <w:pageBreakBefore w:val="false"/>
        <w:spacing w:before="327"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Mischief in the Fourth Degree when, having no right to do so nor any reasonable ground to believe that he or she has such right, that person intentionally damages</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property of another person.</w:t>
      </w:r>
    </w:p>
    <w:p>
      <w:pPr>
        <w:pageBreakBefore w:val="false"/>
        <w:spacing w:before="335"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has/have a special meaning:</w:t>
      </w:r>
    </w:p>
    <w:p>
      <w:pPr>
        <w:pageBreakBefore w:val="false"/>
        <w:spacing w:before="32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damages property of another person when that person's conscious objective or purpose is to damage property of another person.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00" w:after="796"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[PROPERTY OF ANOTHER includes all property in which another person has an ownership interest, whether or not a person who damages the property, or any other person, may also</w:t>
      </w:r>
    </w:p>
    <w:p>
      <w:pPr>
        <w:pageBreakBefore w:val="false"/>
        <w:spacing w:before="263" w:after="0" w:line="275"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533.75pt" to="252.05pt,533.7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This charge was revised in January, 2009 to incorporate the legislative enactment of a statutory definition of “property of another” (Penal Law § 145.13).</w:t>
      </w:r>
    </w:p>
    <w:p>
      <w:pPr>
        <w:pageBreakBefore w:val="false"/>
        <w:spacing w:before="240" w:after="0" w:line="275"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This charge was revised in December, 2009 to incorporate the legislative enactment of an amendment to the statutory definition of “property of another” (Penal Law § 145.13; L. 2009, c. 45, §2).</w:t>
      </w:r>
    </w:p>
    <w:p>
      <w:pPr>
        <w:pageBreakBefore w:val="false"/>
        <w:spacing w:before="246" w:after="0" w:line="275"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People v. Hills</w:t>
      </w:r>
      <w:r>
        <w:rPr>
          <w:rFonts w:ascii="Arial" w:hAnsi="Arial" w:eastAsia="Arial"/>
          <w:color w:val="000000"/>
          <w:spacing w:val="0"/>
          <w:w w:val="100"/>
          <w:sz w:val="24"/>
          <w:vertAlign w:val="baseline"/>
          <w:lang w:val="en-US"/>
        </w:rPr>
        <w:t xml:space="preserve">, 95 N.Y.2d 947 (2000) held that “While the extent of damage necessary to sustain a conviction for fourth degree criminal mischief is slight, some amount of damage is required.”</w:t>
      </w:r>
    </w:p>
    <w:p>
      <w:pPr>
        <w:pageBreakBefore w:val="false"/>
        <w:spacing w:before="239"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See Penal Law § 15.05(1).</w:t>
      </w:r>
    </w:p>
    <w:p>
      <w:pPr>
        <w:sectPr>
          <w:type w:val="nextPage"/>
          <w:pgSz w:w="12240" w:h="15840" w:orient="portrait"/>
          <w:pgMar w:bottom="1004" w:top="1440" w:right="2140" w:left="2160" w:header="720" w:footer="720"/>
          <w:titlePg w:val="false"/>
          <w:textDirection w:val="lrTb"/>
        </w:sectPr>
      </w:pPr>
    </w:p>
    <w:p>
      <w:pPr>
        <w:pageBreakBefore w:val="false"/>
        <w:spacing w:before="44" w:after="0" w:line="31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have an interest in the property.] </w:t>
      </w:r>
      <w:r>
        <w:rPr>
          <w:rFonts w:ascii="Arial" w:hAnsi="Arial" w:eastAsia="Arial"/>
          <w:color w:val="000000"/>
          <w:spacing w:val="-1"/>
          <w:w w:val="100"/>
          <w:sz w:val="28"/>
          <w:vertAlign w:val="superscript"/>
          <w:lang w:val="en-US"/>
        </w:rPr>
        <w:t xml:space="preserve">5</w:t>
      </w:r>
      <w:r>
        <w:rPr>
          <w:rFonts w:ascii="Arial" w:hAnsi="Arial" w:eastAsia="Arial"/>
          <w:color w:val="000000"/>
          <w:spacing w:val="-1"/>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8"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color w:val="000000"/>
          <w:spacing w:val="0"/>
          <w:w w:val="100"/>
          <w:sz w:val="28"/>
          <w:u w:val="single"/>
          <w:vertAlign w:val="baseline"/>
          <w:lang w:val="en-US"/>
        </w:rPr>
        <w:t xml:space="preserve"> (defendant's name) </w:t>
      </w:r>
      <w:r>
        <w:rPr>
          <w:rFonts w:ascii="Arial" w:hAnsi="Arial" w:eastAsia="Arial"/>
          <w:color w:val="000000"/>
          <w:spacing w:val="0"/>
          <w:w w:val="100"/>
          <w:sz w:val="28"/>
          <w:vertAlign w:val="baseline"/>
          <w:lang w:val="en-US"/>
        </w:rPr>
        <w:t xml:space="preserve"> , intentionally damaged property of another person; and</w:t>
      </w:r>
    </w:p>
    <w:p>
      <w:pPr>
        <w:pageBreakBefore w:val="false"/>
        <w:numPr>
          <w:ilvl w:val="0"/>
          <w:numId w:val="1"/>
        </w:numPr>
        <w:tabs>
          <w:tab w:val="clear" w:pos="720"/>
          <w:tab w:val="left" w:pos="1440"/>
        </w:tabs>
        <w:spacing w:before="321"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do so nor any reasonable ground to believe he/she had such right.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5123"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5123" w:line="324" w:lineRule="exact"/>
        <w:sectPr>
          <w:type w:val="nextPage"/>
          <w:pgSz w:w="12240" w:h="15840" w:orient="portrait"/>
          <w:pgMar w:bottom="1024" w:top="1400" w:right="2142" w:left="2158" w:header="720" w:footer="720"/>
          <w:titlePg w:val="false"/>
          <w:textDirection w:val="lrTb"/>
        </w:sectPr>
      </w:pPr>
    </w:p>
    <w:p>
      <w:pPr>
        <w:pageBreakBefore w:val="false"/>
        <w:tabs>
          <w:tab w:val="right" w:leader="none" w:pos="7920"/>
        </w:tabs>
        <w:spacing w:before="253" w:after="0" w:line="274"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4pt,653.5pt" to="252.05pt,65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ab/>
      </w:r>
      <w:r>
        <w:rPr>
          <w:rFonts w:ascii="Arial" w:hAnsi="Arial" w:eastAsia="Arial"/>
          <w:color w:val="000000"/>
          <w:spacing w:val="0"/>
          <w:w w:val="100"/>
          <w:sz w:val="24"/>
          <w:vertAlign w:val="baseline"/>
          <w:lang w:val="en-US"/>
        </w:rPr>
        <w:t xml:space="preserve">Penal Law § 145.13. The modifying word “such” contained in the</w:t>
      </w:r>
    </w:p>
    <w:p>
      <w:pPr>
        <w:pageBreakBefore w:val="false"/>
        <w:spacing w:before="9" w:after="0" w:line="274"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statute has been replaced here with “the” for clarity.</w:t>
      </w:r>
    </w:p>
    <w:p>
      <w:pPr>
        <w:pageBreakBefore w:val="false"/>
        <w:spacing w:before="245"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0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