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F4A46" w14:textId="77777777" w:rsidR="0002543F" w:rsidRPr="0002543F" w:rsidRDefault="0002543F" w:rsidP="0002543F">
      <w:pPr>
        <w:autoSpaceDE w:val="0"/>
        <w:autoSpaceDN w:val="0"/>
        <w:adjustRightInd w:val="0"/>
        <w:spacing w:after="0" w:line="240" w:lineRule="auto"/>
        <w:jc w:val="center"/>
        <w:rPr>
          <w:rFonts w:ascii="Arial" w:hAnsi="Arial" w:cs="Arial"/>
          <w:b/>
          <w:bCs/>
          <w:sz w:val="28"/>
          <w:szCs w:val="28"/>
        </w:rPr>
      </w:pPr>
      <w:r w:rsidRPr="0002543F">
        <w:rPr>
          <w:rFonts w:ascii="Times New Roman" w:hAnsi="Times New Roman" w:cs="Times New Roman"/>
          <w:sz w:val="24"/>
          <w:szCs w:val="24"/>
          <w:lang w:val="en-CA"/>
        </w:rPr>
        <w:fldChar w:fldCharType="begin"/>
      </w:r>
      <w:r w:rsidRPr="0002543F">
        <w:rPr>
          <w:rFonts w:ascii="Times New Roman" w:hAnsi="Times New Roman" w:cs="Times New Roman"/>
          <w:sz w:val="24"/>
          <w:szCs w:val="24"/>
          <w:lang w:val="en-CA"/>
        </w:rPr>
        <w:instrText xml:space="preserve"> SEQ CHAPTER \h \r 1</w:instrText>
      </w:r>
      <w:r w:rsidRPr="0002543F">
        <w:rPr>
          <w:rFonts w:ascii="Times New Roman" w:hAnsi="Times New Roman" w:cs="Times New Roman"/>
          <w:sz w:val="24"/>
          <w:szCs w:val="24"/>
          <w:lang w:val="en-CA"/>
        </w:rPr>
        <w:fldChar w:fldCharType="end"/>
      </w:r>
      <w:r w:rsidRPr="0002543F">
        <w:rPr>
          <w:rFonts w:ascii="Arial" w:hAnsi="Arial" w:cs="Arial"/>
          <w:b/>
          <w:bCs/>
          <w:sz w:val="28"/>
          <w:szCs w:val="28"/>
        </w:rPr>
        <w:t>CRIMINAL MISCHIEF IN THE THIRD DEGREE</w:t>
      </w:r>
    </w:p>
    <w:p w14:paraId="3EE13047" w14:textId="77777777" w:rsidR="0002543F" w:rsidRPr="0002543F" w:rsidRDefault="0002543F" w:rsidP="0002543F">
      <w:pPr>
        <w:autoSpaceDE w:val="0"/>
        <w:autoSpaceDN w:val="0"/>
        <w:adjustRightInd w:val="0"/>
        <w:spacing w:after="0" w:line="240" w:lineRule="auto"/>
        <w:jc w:val="center"/>
        <w:rPr>
          <w:rFonts w:ascii="Arial" w:hAnsi="Arial" w:cs="Arial"/>
          <w:b/>
          <w:bCs/>
          <w:sz w:val="28"/>
          <w:szCs w:val="28"/>
        </w:rPr>
      </w:pPr>
      <w:r w:rsidRPr="0002543F">
        <w:rPr>
          <w:rFonts w:ascii="Arial" w:hAnsi="Arial" w:cs="Arial"/>
          <w:b/>
          <w:bCs/>
          <w:sz w:val="28"/>
          <w:szCs w:val="28"/>
        </w:rPr>
        <w:t xml:space="preserve">(Intentionally Damaging Another's Property; </w:t>
      </w:r>
    </w:p>
    <w:p w14:paraId="6005ED41" w14:textId="77777777" w:rsidR="0002543F" w:rsidRPr="0002543F" w:rsidRDefault="0002543F" w:rsidP="0002543F">
      <w:pPr>
        <w:autoSpaceDE w:val="0"/>
        <w:autoSpaceDN w:val="0"/>
        <w:adjustRightInd w:val="0"/>
        <w:spacing w:after="0" w:line="240" w:lineRule="auto"/>
        <w:jc w:val="center"/>
        <w:rPr>
          <w:rFonts w:ascii="Arial" w:hAnsi="Arial" w:cs="Arial"/>
          <w:b/>
          <w:bCs/>
          <w:sz w:val="28"/>
          <w:szCs w:val="28"/>
        </w:rPr>
      </w:pPr>
      <w:bookmarkStart w:id="0" w:name="BM_1_"/>
      <w:bookmarkEnd w:id="0"/>
      <w:r w:rsidRPr="0002543F">
        <w:rPr>
          <w:rFonts w:ascii="Arial" w:hAnsi="Arial" w:cs="Arial"/>
          <w:b/>
          <w:bCs/>
          <w:sz w:val="28"/>
          <w:szCs w:val="28"/>
        </w:rPr>
        <w:t>Amount More Than $250)</w:t>
      </w:r>
    </w:p>
    <w:p w14:paraId="5E6BD22B" w14:textId="3E0D4D25" w:rsidR="0002543F" w:rsidRPr="0002543F" w:rsidRDefault="0002543F" w:rsidP="0002543F">
      <w:pPr>
        <w:autoSpaceDE w:val="0"/>
        <w:autoSpaceDN w:val="0"/>
        <w:adjustRightInd w:val="0"/>
        <w:spacing w:after="0" w:line="240" w:lineRule="auto"/>
        <w:jc w:val="center"/>
        <w:rPr>
          <w:rFonts w:ascii="Arial" w:hAnsi="Arial" w:cs="Arial"/>
          <w:b/>
          <w:bCs/>
          <w:sz w:val="28"/>
          <w:szCs w:val="28"/>
        </w:rPr>
      </w:pPr>
      <w:r w:rsidRPr="0002543F">
        <w:rPr>
          <w:rFonts w:ascii="Arial" w:hAnsi="Arial" w:cs="Arial"/>
          <w:b/>
          <w:bCs/>
          <w:sz w:val="28"/>
          <w:szCs w:val="28"/>
        </w:rPr>
        <w:t>Penal Law § 145.05</w:t>
      </w:r>
      <w:r w:rsidR="0079020B">
        <w:rPr>
          <w:rFonts w:ascii="Arial" w:hAnsi="Arial" w:cs="Arial"/>
          <w:b/>
          <w:bCs/>
          <w:sz w:val="28"/>
          <w:szCs w:val="28"/>
        </w:rPr>
        <w:t>(2)</w:t>
      </w:r>
      <w:bookmarkStart w:id="1" w:name="_GoBack"/>
      <w:bookmarkEnd w:id="1"/>
    </w:p>
    <w:p w14:paraId="696AA99D" w14:textId="77777777" w:rsidR="0002543F" w:rsidRPr="0002543F" w:rsidRDefault="0002543F" w:rsidP="0002543F">
      <w:pPr>
        <w:autoSpaceDE w:val="0"/>
        <w:autoSpaceDN w:val="0"/>
        <w:adjustRightInd w:val="0"/>
        <w:spacing w:after="0" w:line="240" w:lineRule="auto"/>
        <w:jc w:val="center"/>
        <w:rPr>
          <w:rFonts w:ascii="Arial" w:hAnsi="Arial" w:cs="Arial"/>
          <w:sz w:val="28"/>
          <w:szCs w:val="28"/>
        </w:rPr>
      </w:pPr>
      <w:r w:rsidRPr="0002543F">
        <w:rPr>
          <w:rFonts w:ascii="Arial" w:hAnsi="Arial" w:cs="Arial"/>
          <w:b/>
          <w:bCs/>
          <w:sz w:val="28"/>
          <w:szCs w:val="28"/>
        </w:rPr>
        <w:t>(Committed on or after Sept. 1, 1971)</w:t>
      </w:r>
      <w:r w:rsidRPr="0002543F">
        <w:rPr>
          <w:rFonts w:ascii="Times New Roman" w:hAnsi="Times New Roman" w:cs="Times New Roman"/>
          <w:sz w:val="24"/>
          <w:szCs w:val="24"/>
          <w:vertAlign w:val="superscript"/>
        </w:rPr>
        <w:footnoteReference w:customMarkFollows="1" w:id="1"/>
        <w:t>1</w:t>
      </w:r>
    </w:p>
    <w:p w14:paraId="3BF9DEC0" w14:textId="77777777" w:rsidR="0002543F" w:rsidRPr="0002543F" w:rsidRDefault="0002543F" w:rsidP="0002543F">
      <w:pPr>
        <w:autoSpaceDE w:val="0"/>
        <w:autoSpaceDN w:val="0"/>
        <w:adjustRightInd w:val="0"/>
        <w:spacing w:after="0" w:line="240" w:lineRule="auto"/>
        <w:jc w:val="center"/>
        <w:rPr>
          <w:rFonts w:ascii="Arial" w:hAnsi="Arial" w:cs="Arial"/>
          <w:sz w:val="26"/>
          <w:szCs w:val="26"/>
        </w:rPr>
      </w:pPr>
      <w:r w:rsidRPr="0002543F">
        <w:rPr>
          <w:rFonts w:ascii="Arial" w:hAnsi="Arial" w:cs="Arial"/>
          <w:b/>
          <w:bCs/>
          <w:sz w:val="28"/>
          <w:szCs w:val="28"/>
        </w:rPr>
        <w:t>(Revised Jan. 5, 2009 and Dec. 17, 2009)</w:t>
      </w:r>
      <w:r w:rsidRPr="0002543F">
        <w:rPr>
          <w:rFonts w:ascii="Times New Roman" w:hAnsi="Times New Roman" w:cs="Times New Roman"/>
          <w:sz w:val="24"/>
          <w:szCs w:val="24"/>
          <w:vertAlign w:val="superscript"/>
        </w:rPr>
        <w:footnoteReference w:customMarkFollows="1" w:id="2"/>
        <w:t>2</w:t>
      </w:r>
    </w:p>
    <w:p w14:paraId="7BE3491B"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p>
    <w:p w14:paraId="59789D73"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r w:rsidRPr="0002543F">
        <w:rPr>
          <w:rFonts w:ascii="Arial" w:hAnsi="Arial" w:cs="Arial"/>
          <w:sz w:val="28"/>
          <w:szCs w:val="28"/>
        </w:rPr>
        <w:tab/>
        <w:t>The (</w:t>
      </w:r>
      <w:r w:rsidRPr="0002543F">
        <w:rPr>
          <w:rFonts w:ascii="Arial" w:hAnsi="Arial" w:cs="Arial"/>
          <w:i/>
          <w:iCs/>
          <w:sz w:val="28"/>
          <w:szCs w:val="28"/>
          <w:u w:val="single"/>
        </w:rPr>
        <w:t>specify</w:t>
      </w:r>
      <w:r w:rsidRPr="0002543F">
        <w:rPr>
          <w:rFonts w:ascii="Arial" w:hAnsi="Arial" w:cs="Arial"/>
          <w:sz w:val="28"/>
          <w:szCs w:val="28"/>
        </w:rPr>
        <w:t>) count is Criminal Mischief in the Third Degree.</w:t>
      </w:r>
    </w:p>
    <w:p w14:paraId="033D1C5F"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r w:rsidRPr="0002543F">
        <w:rPr>
          <w:rFonts w:ascii="Arial" w:hAnsi="Arial" w:cs="Arial"/>
          <w:sz w:val="28"/>
          <w:szCs w:val="28"/>
        </w:rPr>
        <w:t xml:space="preserve">         </w:t>
      </w:r>
    </w:p>
    <w:p w14:paraId="5A7628F3"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r w:rsidRPr="0002543F">
        <w:rPr>
          <w:rFonts w:ascii="Arial" w:hAnsi="Arial" w:cs="Arial"/>
          <w:sz w:val="28"/>
          <w:szCs w:val="28"/>
        </w:rPr>
        <w:tab/>
        <w:t>Under our law, a person is guilty of Criminal Mischief in the Third Degree when, with intent to damage property of another person, and having no right to do so nor any reasonable ground to believe that he or she has such right, that person damages property of another person in an amount exceeding two hundred fifty dollars ($250.00).</w:t>
      </w:r>
    </w:p>
    <w:p w14:paraId="020DD437"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r w:rsidRPr="0002543F">
        <w:rPr>
          <w:rFonts w:ascii="Arial" w:hAnsi="Arial" w:cs="Arial"/>
          <w:sz w:val="28"/>
          <w:szCs w:val="28"/>
        </w:rPr>
        <w:tab/>
      </w:r>
    </w:p>
    <w:p w14:paraId="6792F59B"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r w:rsidRPr="0002543F">
        <w:rPr>
          <w:rFonts w:ascii="Arial" w:hAnsi="Arial" w:cs="Arial"/>
          <w:sz w:val="28"/>
          <w:szCs w:val="28"/>
        </w:rPr>
        <w:tab/>
        <w:t xml:space="preserve">The following term(s) used in that definition has/have a special meaning:        </w:t>
      </w:r>
    </w:p>
    <w:p w14:paraId="0BE51AEC"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p>
    <w:p w14:paraId="6F469185"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r w:rsidRPr="0002543F">
        <w:rPr>
          <w:rFonts w:ascii="Arial" w:hAnsi="Arial" w:cs="Arial"/>
          <w:sz w:val="28"/>
          <w:szCs w:val="28"/>
        </w:rPr>
        <w:tab/>
        <w:t>INTENT means conscious objective or purpose.</w:t>
      </w:r>
      <w:r w:rsidRPr="0002543F">
        <w:rPr>
          <w:rFonts w:ascii="Times New Roman" w:hAnsi="Times New Roman" w:cs="Times New Roman"/>
          <w:sz w:val="24"/>
          <w:szCs w:val="24"/>
          <w:vertAlign w:val="superscript"/>
        </w:rPr>
        <w:footnoteReference w:customMarkFollows="1" w:id="3"/>
        <w:t>3</w:t>
      </w:r>
      <w:r w:rsidRPr="0002543F">
        <w:rPr>
          <w:rFonts w:ascii="Arial" w:hAnsi="Arial" w:cs="Arial"/>
          <w:sz w:val="28"/>
          <w:szCs w:val="28"/>
        </w:rPr>
        <w:t xml:space="preserve"> Thus, a person intends to damage property of another person when his or her conscious objective or purpose is to damage property of another person.</w:t>
      </w:r>
    </w:p>
    <w:p w14:paraId="01498798"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p>
    <w:p w14:paraId="7CE37176"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r w:rsidRPr="0002543F">
        <w:rPr>
          <w:rFonts w:ascii="Arial" w:hAnsi="Arial" w:cs="Arial"/>
          <w:sz w:val="28"/>
          <w:szCs w:val="28"/>
        </w:rPr>
        <w:tab/>
        <w:t xml:space="preserve">[PROPERTY OF ANOTHER includes all property in which another person has an ownership interest, whether or not a </w:t>
      </w:r>
      <w:r w:rsidRPr="0002543F">
        <w:rPr>
          <w:rFonts w:ascii="Arial" w:hAnsi="Arial" w:cs="Arial"/>
          <w:sz w:val="28"/>
          <w:szCs w:val="28"/>
        </w:rPr>
        <w:lastRenderedPageBreak/>
        <w:t xml:space="preserve">person who damages the property, or any other person, may also have an interest in the property.] </w:t>
      </w:r>
      <w:r w:rsidRPr="0002543F">
        <w:rPr>
          <w:rFonts w:ascii="Times New Roman" w:hAnsi="Times New Roman" w:cs="Times New Roman"/>
          <w:sz w:val="24"/>
          <w:szCs w:val="24"/>
          <w:vertAlign w:val="superscript"/>
        </w:rPr>
        <w:footnoteReference w:customMarkFollows="1" w:id="4"/>
        <w:t>4</w:t>
      </w:r>
    </w:p>
    <w:p w14:paraId="3C84B241"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r w:rsidRPr="0002543F">
        <w:rPr>
          <w:rFonts w:ascii="Arial" w:hAnsi="Arial" w:cs="Arial"/>
          <w:sz w:val="28"/>
          <w:szCs w:val="28"/>
        </w:rPr>
        <w:tab/>
      </w:r>
    </w:p>
    <w:p w14:paraId="49B74CB1"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r w:rsidRPr="0002543F">
        <w:rPr>
          <w:rFonts w:ascii="Arial" w:hAnsi="Arial" w:cs="Arial"/>
          <w:sz w:val="28"/>
          <w:szCs w:val="28"/>
        </w:rPr>
        <w:tab/>
        <w:t xml:space="preserve">The amount of damage to property is determined by the cost of repair or the replacement of the property, whichever is less. </w:t>
      </w:r>
      <w:r w:rsidRPr="0002543F">
        <w:rPr>
          <w:rFonts w:ascii="Times New Roman" w:hAnsi="Times New Roman" w:cs="Times New Roman"/>
          <w:sz w:val="24"/>
          <w:szCs w:val="24"/>
          <w:vertAlign w:val="superscript"/>
        </w:rPr>
        <w:footnoteReference w:customMarkFollows="1" w:id="5"/>
        <w:t>5</w:t>
      </w:r>
    </w:p>
    <w:p w14:paraId="1805FD6B"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r w:rsidRPr="0002543F">
        <w:rPr>
          <w:rFonts w:ascii="Arial" w:hAnsi="Arial" w:cs="Arial"/>
          <w:sz w:val="28"/>
          <w:szCs w:val="28"/>
        </w:rPr>
        <w:t xml:space="preserve">           </w:t>
      </w:r>
    </w:p>
    <w:p w14:paraId="38D7A08D"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r w:rsidRPr="0002543F">
        <w:rPr>
          <w:rFonts w:ascii="Arial" w:hAnsi="Arial" w:cs="Arial"/>
          <w:sz w:val="28"/>
          <w:szCs w:val="28"/>
        </w:rPr>
        <w:tab/>
        <w:t>In order for you to find the defendant guilty of this crime, the People are required to prove, from all of the evidence in the case beyond a reasonable doubt, each of the following three elements:</w:t>
      </w:r>
    </w:p>
    <w:p w14:paraId="43372148"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p>
    <w:p w14:paraId="35049BC0" w14:textId="77777777" w:rsidR="0002543F" w:rsidRPr="0002543F" w:rsidRDefault="0002543F" w:rsidP="0002543F">
      <w:pPr>
        <w:tabs>
          <w:tab w:val="left" w:pos="720"/>
          <w:tab w:val="left" w:pos="1440"/>
        </w:tabs>
        <w:autoSpaceDE w:val="0"/>
        <w:autoSpaceDN w:val="0"/>
        <w:adjustRightInd w:val="0"/>
        <w:spacing w:after="0" w:line="240" w:lineRule="auto"/>
        <w:ind w:left="1440" w:hanging="2880"/>
        <w:jc w:val="both"/>
        <w:rPr>
          <w:rFonts w:ascii="Arial" w:hAnsi="Arial" w:cs="Arial"/>
          <w:sz w:val="28"/>
          <w:szCs w:val="28"/>
        </w:rPr>
      </w:pPr>
      <w:r w:rsidRPr="0002543F">
        <w:rPr>
          <w:rFonts w:ascii="Arial" w:hAnsi="Arial" w:cs="Arial"/>
          <w:sz w:val="28"/>
          <w:szCs w:val="28"/>
        </w:rPr>
        <w:tab/>
        <w:t>1.</w:t>
      </w:r>
      <w:r w:rsidRPr="0002543F">
        <w:rPr>
          <w:rFonts w:ascii="Arial" w:hAnsi="Arial" w:cs="Arial"/>
          <w:sz w:val="28"/>
          <w:szCs w:val="28"/>
        </w:rPr>
        <w:tab/>
      </w:r>
      <w:r w:rsidRPr="0002543F">
        <w:rPr>
          <w:rFonts w:ascii="Arial" w:hAnsi="Arial" w:cs="Arial"/>
          <w:sz w:val="28"/>
          <w:szCs w:val="28"/>
        </w:rPr>
        <w:tab/>
        <w:t>That on or about</w:t>
      </w:r>
      <w:r w:rsidRPr="0002543F">
        <w:rPr>
          <w:rFonts w:ascii="Arial" w:hAnsi="Arial" w:cs="Arial"/>
          <w:i/>
          <w:iCs/>
          <w:sz w:val="19"/>
          <w:szCs w:val="19"/>
          <w:u w:val="single"/>
        </w:rPr>
        <w:t xml:space="preserve"> (date),</w:t>
      </w:r>
      <w:r w:rsidRPr="0002543F">
        <w:rPr>
          <w:rFonts w:ascii="Arial" w:hAnsi="Arial" w:cs="Arial"/>
          <w:sz w:val="28"/>
          <w:szCs w:val="28"/>
        </w:rPr>
        <w:t xml:space="preserve"> in the </w:t>
      </w:r>
      <w:r>
        <w:rPr>
          <w:rFonts w:ascii="Arial" w:hAnsi="Arial" w:cs="Arial"/>
          <w:sz w:val="28"/>
          <w:szCs w:val="28"/>
        </w:rPr>
        <w:t>C</w:t>
      </w:r>
      <w:r w:rsidRPr="0002543F">
        <w:rPr>
          <w:rFonts w:ascii="Arial" w:hAnsi="Arial" w:cs="Arial"/>
          <w:sz w:val="28"/>
          <w:szCs w:val="28"/>
        </w:rPr>
        <w:t xml:space="preserve">ounty of </w:t>
      </w:r>
      <w:r w:rsidRPr="0002543F">
        <w:rPr>
          <w:rFonts w:ascii="Arial" w:hAnsi="Arial" w:cs="Arial"/>
          <w:i/>
          <w:iCs/>
          <w:sz w:val="19"/>
          <w:szCs w:val="19"/>
          <w:u w:val="single"/>
        </w:rPr>
        <w:t>(</w:t>
      </w:r>
      <w:r>
        <w:rPr>
          <w:rFonts w:ascii="Arial" w:hAnsi="Arial" w:cs="Arial"/>
          <w:i/>
          <w:iCs/>
          <w:sz w:val="19"/>
          <w:szCs w:val="19"/>
          <w:u w:val="single"/>
        </w:rPr>
        <w:t>C</w:t>
      </w:r>
      <w:r w:rsidRPr="0002543F">
        <w:rPr>
          <w:rFonts w:ascii="Arial" w:hAnsi="Arial" w:cs="Arial"/>
          <w:i/>
          <w:iCs/>
          <w:sz w:val="19"/>
          <w:szCs w:val="19"/>
          <w:u w:val="single"/>
        </w:rPr>
        <w:t>ounty)</w:t>
      </w:r>
      <w:r w:rsidRPr="0002543F">
        <w:rPr>
          <w:rFonts w:ascii="Arial" w:hAnsi="Arial" w:cs="Arial"/>
          <w:sz w:val="28"/>
          <w:szCs w:val="28"/>
        </w:rPr>
        <w:t xml:space="preserve">, the defendant, </w:t>
      </w:r>
      <w:r w:rsidRPr="0002543F">
        <w:rPr>
          <w:rFonts w:ascii="Arial" w:hAnsi="Arial" w:cs="Arial"/>
          <w:i/>
          <w:iCs/>
          <w:sz w:val="19"/>
          <w:szCs w:val="19"/>
          <w:u w:val="single"/>
        </w:rPr>
        <w:t>(defendant's name),</w:t>
      </w:r>
      <w:r w:rsidRPr="0002543F">
        <w:rPr>
          <w:rFonts w:ascii="Arial" w:hAnsi="Arial" w:cs="Arial"/>
          <w:sz w:val="28"/>
          <w:szCs w:val="28"/>
        </w:rPr>
        <w:t xml:space="preserve"> damaged property of another person in an amount exceeding two hundred fifty dollars ($250);</w:t>
      </w:r>
    </w:p>
    <w:p w14:paraId="0CD7F15D"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r w:rsidRPr="0002543F">
        <w:rPr>
          <w:rFonts w:ascii="Arial" w:hAnsi="Arial" w:cs="Arial"/>
          <w:sz w:val="28"/>
          <w:szCs w:val="28"/>
        </w:rPr>
        <w:t xml:space="preserve">         </w:t>
      </w:r>
    </w:p>
    <w:p w14:paraId="535343BE" w14:textId="77777777" w:rsidR="0002543F" w:rsidRPr="0002543F" w:rsidRDefault="0002543F" w:rsidP="0002543F">
      <w:pPr>
        <w:tabs>
          <w:tab w:val="left" w:pos="720"/>
          <w:tab w:val="left" w:pos="1440"/>
        </w:tabs>
        <w:autoSpaceDE w:val="0"/>
        <w:autoSpaceDN w:val="0"/>
        <w:adjustRightInd w:val="0"/>
        <w:spacing w:after="0" w:line="240" w:lineRule="auto"/>
        <w:ind w:left="1440" w:hanging="2880"/>
        <w:jc w:val="both"/>
        <w:rPr>
          <w:rFonts w:ascii="Arial" w:hAnsi="Arial" w:cs="Arial"/>
          <w:sz w:val="28"/>
          <w:szCs w:val="28"/>
        </w:rPr>
      </w:pPr>
      <w:r w:rsidRPr="0002543F">
        <w:rPr>
          <w:rFonts w:ascii="Arial" w:hAnsi="Arial" w:cs="Arial"/>
          <w:sz w:val="28"/>
          <w:szCs w:val="28"/>
        </w:rPr>
        <w:tab/>
        <w:t>2.</w:t>
      </w:r>
      <w:r w:rsidRPr="0002543F">
        <w:rPr>
          <w:rFonts w:ascii="Arial" w:hAnsi="Arial" w:cs="Arial"/>
          <w:sz w:val="28"/>
          <w:szCs w:val="28"/>
        </w:rPr>
        <w:tab/>
      </w:r>
      <w:r w:rsidRPr="0002543F">
        <w:rPr>
          <w:rFonts w:ascii="Arial" w:hAnsi="Arial" w:cs="Arial"/>
          <w:sz w:val="28"/>
          <w:szCs w:val="28"/>
        </w:rPr>
        <w:tab/>
        <w:t>That the defendant did so with the intent to damage property of another person; and</w:t>
      </w:r>
    </w:p>
    <w:p w14:paraId="3C5AAA63"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p>
    <w:p w14:paraId="7D47740C" w14:textId="77777777" w:rsidR="0002543F" w:rsidRPr="0002543F" w:rsidRDefault="0002543F" w:rsidP="0002543F">
      <w:pPr>
        <w:autoSpaceDE w:val="0"/>
        <w:autoSpaceDN w:val="0"/>
        <w:adjustRightInd w:val="0"/>
        <w:spacing w:after="0" w:line="240" w:lineRule="auto"/>
        <w:ind w:left="1440" w:hanging="720"/>
        <w:jc w:val="both"/>
        <w:rPr>
          <w:rFonts w:ascii="Arial" w:hAnsi="Arial" w:cs="Arial"/>
          <w:sz w:val="28"/>
          <w:szCs w:val="28"/>
        </w:rPr>
      </w:pPr>
      <w:r w:rsidRPr="0002543F">
        <w:rPr>
          <w:rFonts w:ascii="Arial" w:hAnsi="Arial" w:cs="Arial"/>
          <w:sz w:val="28"/>
          <w:szCs w:val="28"/>
        </w:rPr>
        <w:t>3.</w:t>
      </w:r>
      <w:r w:rsidRPr="0002543F">
        <w:rPr>
          <w:rFonts w:ascii="Arial" w:hAnsi="Arial" w:cs="Arial"/>
          <w:sz w:val="28"/>
          <w:szCs w:val="28"/>
        </w:rPr>
        <w:tab/>
        <w:t>That the defendant had no right to cause such damage nor any reasonable ground to believe he/she had such right.</w:t>
      </w:r>
    </w:p>
    <w:p w14:paraId="393BF9A1"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p>
    <w:p w14:paraId="4CE46656"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r w:rsidRPr="0002543F">
        <w:rPr>
          <w:rFonts w:ascii="Arial" w:hAnsi="Arial" w:cs="Arial"/>
          <w:sz w:val="28"/>
          <w:szCs w:val="28"/>
        </w:rPr>
        <w:tab/>
        <w:t>If you find the People have proven beyond a reasonable doubt each of those elements, you must find the defendant guilty of this crime.</w:t>
      </w:r>
    </w:p>
    <w:p w14:paraId="7136CAB4" w14:textId="77777777" w:rsidR="0002543F" w:rsidRPr="0002543F" w:rsidRDefault="0002543F" w:rsidP="0002543F">
      <w:pPr>
        <w:autoSpaceDE w:val="0"/>
        <w:autoSpaceDN w:val="0"/>
        <w:adjustRightInd w:val="0"/>
        <w:spacing w:after="0" w:line="240" w:lineRule="auto"/>
        <w:jc w:val="both"/>
        <w:rPr>
          <w:rFonts w:ascii="Arial" w:hAnsi="Arial" w:cs="Arial"/>
          <w:sz w:val="28"/>
          <w:szCs w:val="28"/>
        </w:rPr>
      </w:pPr>
    </w:p>
    <w:p w14:paraId="5E0B56F2" w14:textId="77777777" w:rsidR="00D57D5D" w:rsidRDefault="0002543F" w:rsidP="0002543F">
      <w:r w:rsidRPr="0002543F">
        <w:rPr>
          <w:rFonts w:ascii="Arial" w:hAnsi="Arial" w:cs="Arial"/>
          <w:sz w:val="28"/>
          <w:szCs w:val="28"/>
        </w:rPr>
        <w:tab/>
        <w:t>If you find the People have not proven beyond a reasonable doubt any one or more of those elements, you must find the defendant not guilty of this crime.</w:t>
      </w:r>
    </w:p>
    <w:sectPr w:rsidR="00D57D5D" w:rsidSect="0003129E">
      <w:pgSz w:w="12240" w:h="15840"/>
      <w:pgMar w:top="1080" w:right="2160" w:bottom="1080" w:left="21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5142B" w14:textId="77777777" w:rsidR="0002543F" w:rsidRDefault="0002543F" w:rsidP="0002543F">
      <w:pPr>
        <w:spacing w:after="0" w:line="240" w:lineRule="auto"/>
      </w:pPr>
      <w:r>
        <w:separator/>
      </w:r>
    </w:p>
  </w:endnote>
  <w:endnote w:type="continuationSeparator" w:id="0">
    <w:p w14:paraId="0EFB2920" w14:textId="77777777" w:rsidR="0002543F" w:rsidRDefault="0002543F" w:rsidP="0002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6A4AF" w14:textId="77777777" w:rsidR="0002543F" w:rsidRDefault="0002543F" w:rsidP="0002543F">
      <w:pPr>
        <w:spacing w:after="0" w:line="240" w:lineRule="auto"/>
      </w:pPr>
      <w:r>
        <w:separator/>
      </w:r>
    </w:p>
  </w:footnote>
  <w:footnote w:type="continuationSeparator" w:id="0">
    <w:p w14:paraId="5F0C0711" w14:textId="77777777" w:rsidR="0002543F" w:rsidRDefault="0002543F" w:rsidP="0002543F">
      <w:pPr>
        <w:spacing w:after="0" w:line="240" w:lineRule="auto"/>
      </w:pPr>
      <w:r>
        <w:continuationSeparator/>
      </w:r>
    </w:p>
  </w:footnote>
  <w:footnote w:id="1">
    <w:p w14:paraId="3145CCC7" w14:textId="77777777" w:rsidR="0002543F" w:rsidRDefault="0002543F" w:rsidP="0002543F">
      <w:pPr>
        <w:spacing w:after="240"/>
        <w:jc w:val="both"/>
        <w:rPr>
          <w:sz w:val="24"/>
          <w:szCs w:val="24"/>
        </w:rPr>
      </w:pPr>
      <w:r>
        <w:rPr>
          <w:sz w:val="24"/>
          <w:szCs w:val="24"/>
          <w:vertAlign w:val="superscript"/>
        </w:rPr>
        <w:t>1</w:t>
      </w:r>
      <w:r>
        <w:rPr>
          <w:rFonts w:ascii="Arial" w:hAnsi="Arial" w:cs="Arial"/>
          <w:sz w:val="24"/>
          <w:szCs w:val="24"/>
        </w:rPr>
        <w:t xml:space="preserve">    Initially, Penal Law § 145.05 defined “criminal mischief in the third degree” as set forth in this charge. Effective November 1, 2003, the instant definition was numbered subdivision two, with no further amendments, to enable the addition of a new subdivision one. L. 2003, c. 276. </w:t>
      </w:r>
    </w:p>
  </w:footnote>
  <w:footnote w:id="2">
    <w:p w14:paraId="5DCDCEB9" w14:textId="77777777" w:rsidR="0002543F" w:rsidRDefault="0002543F" w:rsidP="0002543F">
      <w:pPr>
        <w:jc w:val="both"/>
        <w:rPr>
          <w:rFonts w:ascii="Arial" w:hAnsi="Arial" w:cs="Arial"/>
          <w:sz w:val="24"/>
          <w:szCs w:val="24"/>
        </w:rPr>
      </w:pPr>
      <w:r>
        <w:rPr>
          <w:sz w:val="24"/>
          <w:szCs w:val="24"/>
          <w:vertAlign w:val="superscript"/>
        </w:rPr>
        <w:t>2</w:t>
      </w:r>
      <w:r>
        <w:rPr>
          <w:rFonts w:ascii="Arial" w:hAnsi="Arial" w:cs="Arial"/>
          <w:sz w:val="24"/>
          <w:szCs w:val="24"/>
        </w:rPr>
        <w:t xml:space="preserve">   The January 2009 revision was for the purpose of incorporating the legislative enactment in 2008 of a statutory definition of “property of another” [Penal Law § 145.13]. L.2008, c. 601, eff. Nov. 1, 2008.  </w:t>
      </w:r>
    </w:p>
    <w:p w14:paraId="3B8086A5" w14:textId="77777777" w:rsidR="0002543F" w:rsidRDefault="0002543F" w:rsidP="0002543F">
      <w:pPr>
        <w:spacing w:after="240"/>
        <w:jc w:val="both"/>
        <w:rPr>
          <w:sz w:val="24"/>
          <w:szCs w:val="24"/>
        </w:rPr>
      </w:pPr>
      <w:r>
        <w:rPr>
          <w:rFonts w:ascii="Arial" w:hAnsi="Arial" w:cs="Arial"/>
          <w:sz w:val="24"/>
          <w:szCs w:val="24"/>
        </w:rPr>
        <w:t xml:space="preserve">      The December 2009 revision was for the purpose of incorporating a 2009 legislative amendment of that statutory definition of “property of another” (Penal Law § 145.13; L. 2009, c.45, eff. May 29, 2009.) </w:t>
      </w:r>
    </w:p>
  </w:footnote>
  <w:footnote w:id="3">
    <w:p w14:paraId="4CBA2FF2" w14:textId="77777777" w:rsidR="0002543F" w:rsidRDefault="0002543F" w:rsidP="0002543F">
      <w:pPr>
        <w:tabs>
          <w:tab w:val="left" w:pos="720"/>
        </w:tabs>
        <w:spacing w:after="240"/>
        <w:ind w:left="720" w:hanging="720"/>
        <w:jc w:val="both"/>
        <w:rPr>
          <w:sz w:val="24"/>
          <w:szCs w:val="24"/>
        </w:rPr>
      </w:pPr>
      <w:r>
        <w:rPr>
          <w:sz w:val="24"/>
          <w:szCs w:val="24"/>
          <w:vertAlign w:val="superscript"/>
        </w:rPr>
        <w:t>3</w:t>
      </w:r>
      <w:r>
        <w:rPr>
          <w:rFonts w:ascii="Arial" w:hAnsi="Arial" w:cs="Arial"/>
          <w:sz w:val="24"/>
          <w:szCs w:val="24"/>
        </w:rPr>
        <w:t xml:space="preserve">   </w:t>
      </w:r>
      <w:r>
        <w:rPr>
          <w:rFonts w:ascii="Arial" w:hAnsi="Arial" w:cs="Arial"/>
          <w:sz w:val="24"/>
          <w:szCs w:val="24"/>
          <w:vertAlign w:val="superscript"/>
        </w:rPr>
        <w:t xml:space="preserve">  </w:t>
      </w:r>
      <w:r>
        <w:rPr>
          <w:rFonts w:ascii="Arial" w:hAnsi="Arial" w:cs="Arial"/>
          <w:i/>
          <w:iCs/>
          <w:sz w:val="24"/>
          <w:szCs w:val="24"/>
        </w:rPr>
        <w:t>See</w:t>
      </w:r>
      <w:r>
        <w:rPr>
          <w:rFonts w:ascii="Arial" w:hAnsi="Arial" w:cs="Arial"/>
          <w:sz w:val="24"/>
          <w:szCs w:val="24"/>
        </w:rPr>
        <w:t xml:space="preserve"> Penal Law § 15.05(1).</w:t>
      </w:r>
    </w:p>
  </w:footnote>
  <w:footnote w:id="4">
    <w:p w14:paraId="1DCE461C" w14:textId="77777777" w:rsidR="0002543F" w:rsidRDefault="0002543F" w:rsidP="0002543F">
      <w:pPr>
        <w:spacing w:after="240"/>
        <w:jc w:val="both"/>
        <w:rPr>
          <w:sz w:val="24"/>
          <w:szCs w:val="24"/>
        </w:rPr>
      </w:pPr>
      <w:r>
        <w:rPr>
          <w:sz w:val="24"/>
          <w:szCs w:val="24"/>
          <w:vertAlign w:val="superscript"/>
        </w:rPr>
        <w:t>4</w:t>
      </w:r>
      <w:r>
        <w:rPr>
          <w:rFonts w:ascii="Arial" w:hAnsi="Arial" w:cs="Arial"/>
          <w:sz w:val="24"/>
          <w:szCs w:val="24"/>
        </w:rPr>
        <w:t xml:space="preserve">   Penal Law § 145.13. The modifying word “such” contained in the statute has been replaced here with “the” for clarity.</w:t>
      </w:r>
    </w:p>
  </w:footnote>
  <w:footnote w:id="5">
    <w:p w14:paraId="0D6468EE" w14:textId="77777777" w:rsidR="0002543F" w:rsidRDefault="0002543F" w:rsidP="0002543F">
      <w:pPr>
        <w:spacing w:after="240"/>
        <w:jc w:val="both"/>
        <w:rPr>
          <w:sz w:val="24"/>
          <w:szCs w:val="24"/>
        </w:rPr>
      </w:pPr>
      <w:r>
        <w:rPr>
          <w:sz w:val="24"/>
          <w:szCs w:val="24"/>
          <w:vertAlign w:val="superscript"/>
        </w:rPr>
        <w:t>5</w:t>
      </w:r>
      <w:r>
        <w:rPr>
          <w:rFonts w:ascii="Arial" w:hAnsi="Arial" w:cs="Arial"/>
          <w:sz w:val="24"/>
          <w:szCs w:val="24"/>
        </w:rPr>
        <w:t xml:space="preserve">      </w:t>
      </w:r>
      <w:r>
        <w:rPr>
          <w:rFonts w:ascii="Arial" w:hAnsi="Arial" w:cs="Arial"/>
          <w:i/>
          <w:iCs/>
          <w:sz w:val="24"/>
          <w:szCs w:val="24"/>
        </w:rPr>
        <w:t>See People v. Woodard</w:t>
      </w:r>
      <w:r>
        <w:rPr>
          <w:rFonts w:ascii="Arial" w:hAnsi="Arial" w:cs="Arial"/>
          <w:sz w:val="24"/>
          <w:szCs w:val="24"/>
        </w:rPr>
        <w:t>, 148 A.D.2d 997 (4</w:t>
      </w:r>
      <w:r>
        <w:rPr>
          <w:rFonts w:ascii="Arial" w:hAnsi="Arial" w:cs="Arial"/>
          <w:sz w:val="24"/>
          <w:szCs w:val="24"/>
          <w:vertAlign w:val="superscript"/>
        </w:rPr>
        <w:t>th</w:t>
      </w:r>
      <w:r>
        <w:rPr>
          <w:rFonts w:ascii="Arial" w:hAnsi="Arial" w:cs="Arial"/>
          <w:sz w:val="24"/>
          <w:szCs w:val="24"/>
        </w:rPr>
        <w:t xml:space="preserve"> Dept. 1989); </w:t>
      </w:r>
      <w:r>
        <w:rPr>
          <w:rFonts w:ascii="Arial" w:hAnsi="Arial" w:cs="Arial"/>
          <w:i/>
          <w:iCs/>
          <w:sz w:val="24"/>
          <w:szCs w:val="24"/>
        </w:rPr>
        <w:t>People v. Gina</w:t>
      </w:r>
      <w:r>
        <w:rPr>
          <w:rFonts w:ascii="Arial" w:hAnsi="Arial" w:cs="Arial"/>
          <w:sz w:val="24"/>
          <w:szCs w:val="24"/>
        </w:rPr>
        <w:t>, 137 A.D.2d 555 (2</w:t>
      </w:r>
      <w:r>
        <w:rPr>
          <w:rFonts w:ascii="Arial" w:hAnsi="Arial" w:cs="Arial"/>
          <w:sz w:val="24"/>
          <w:szCs w:val="24"/>
          <w:vertAlign w:val="superscript"/>
        </w:rPr>
        <w:t>nd</w:t>
      </w:r>
      <w:r>
        <w:rPr>
          <w:rFonts w:ascii="Arial" w:hAnsi="Arial" w:cs="Arial"/>
          <w:sz w:val="24"/>
          <w:szCs w:val="24"/>
        </w:rPr>
        <w:t xml:space="preserve"> Dept. 1988); </w:t>
      </w:r>
      <w:r>
        <w:rPr>
          <w:rFonts w:ascii="Arial" w:hAnsi="Arial" w:cs="Arial"/>
          <w:i/>
          <w:iCs/>
          <w:sz w:val="24"/>
          <w:szCs w:val="24"/>
        </w:rPr>
        <w:t>People v. Simpson</w:t>
      </w:r>
      <w:r>
        <w:rPr>
          <w:rFonts w:ascii="Arial" w:hAnsi="Arial" w:cs="Arial"/>
          <w:sz w:val="24"/>
          <w:szCs w:val="24"/>
        </w:rPr>
        <w:t>, 132 A.D.2d 894 (3</w:t>
      </w:r>
      <w:r>
        <w:rPr>
          <w:rFonts w:ascii="Arial" w:hAnsi="Arial" w:cs="Arial"/>
          <w:sz w:val="24"/>
          <w:szCs w:val="24"/>
          <w:vertAlign w:val="superscript"/>
        </w:rPr>
        <w:t>rd</w:t>
      </w:r>
      <w:r>
        <w:rPr>
          <w:rFonts w:ascii="Arial" w:hAnsi="Arial" w:cs="Arial"/>
          <w:sz w:val="24"/>
          <w:szCs w:val="24"/>
        </w:rPr>
        <w:t xml:space="preserve"> Dept. 1987).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3F"/>
    <w:rsid w:val="0002543F"/>
    <w:rsid w:val="0003129E"/>
    <w:rsid w:val="00545CB1"/>
    <w:rsid w:val="0079020B"/>
    <w:rsid w:val="00D5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E7F6"/>
  <w15:chartTrackingRefBased/>
  <w15:docId w15:val="{FDA06FC1-DE1D-4D10-BE7E-85B19EF2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2018-10-15T19:46:00Z</dcterms:created>
  <dcterms:modified xsi:type="dcterms:W3CDTF">2018-10-15T23:49:00Z</dcterms:modified>
</cp:coreProperties>
</file>