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(Telephone Services)</w:t>
        <w:br/>
      </w:r>
      <w:r>
        <w:rPr>
          <w:rFonts w:ascii="Arial" w:hAnsi="Arial" w:eastAsia="Arial"/>
          <w:b w:val="true"/>
          <w:strike w:val="false"/>
          <w:color w:val="000000"/>
          <w:spacing w:val="0"/>
          <w:w w:val="100"/>
          <w:sz w:val="28"/>
          <w:vertAlign w:val="baseline"/>
          <w:lang w:val="en-US"/>
        </w:rPr>
        <w:t xml:space="preserve">Penal Law § 165.15(5)</w:t>
        <w:br/>
      </w:r>
      <w:r>
        <w:rPr>
          <w:rFonts w:ascii="Arial" w:hAnsi="Arial" w:eastAsia="Arial"/>
          <w:b w:val="true"/>
          <w:strike w:val="false"/>
          <w:color w:val="000000"/>
          <w:spacing w:val="0"/>
          <w:w w:val="100"/>
          <w:sz w:val="28"/>
          <w:vertAlign w:val="baseline"/>
          <w:lang w:val="en-US"/>
        </w:rPr>
        <w:t xml:space="preserve">(Committed on or after Nov. 1, 1993)</w:t>
      </w:r>
    </w:p>
    <w:p>
      <w:pPr>
        <w:pageBreakBefore w:val="false"/>
        <w:spacing w:before="65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Theft of Services when, with intent to avoid payment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the lawful charge for any telephone service which is provided for a charge or compensation, that person sells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offers for sale]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makes available]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uses], without consent, an existing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cancelled]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revoked] access device.</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INTENT means conscious objective or purpose.</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Thus, a person acts with intent to avoid payment of the lawful charge for telephone service when that person's conscious objective or purpose is to avoid payment of the lawful charge for such service.</w:t>
      </w:r>
    </w:p>
    <w:p>
      <w:pPr>
        <w:pageBreakBefore w:val="false"/>
        <w:spacing w:before="330"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ACCESS DEVICE means any telephone calling card number, credit card number, account number, mobile identification number, electronic serial number or personal identification number that can be used to obtain telephone service.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8" w:after="328"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spacing w:before="302" w:after="0" w:line="225" w:lineRule="exact"/>
        <w:ind w:right="72" w:left="0" w:firstLine="288"/>
        <w:jc w:val="left"/>
        <w:textAlignment w:val="baseline"/>
        <w:rPr>
          <w:rFonts w:ascii="Arial" w:hAnsi="Arial" w:eastAsia="Arial"/>
          <w:strike w:val="false"/>
          <w:color w:val="000000"/>
          <w:spacing w:val="0"/>
          <w:w w:val="100"/>
          <w:sz w:val="14"/>
          <w:vertAlign w:val="superscript"/>
          <w:lang w:val="en-US"/>
        </w:rPr>
      </w:pPr>
      <w:r>
        <w:pict>
          <v:line strokeweight="1.2pt" strokecolor="#000000" from="108pt,609.35pt" to="252.05pt,609.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19"/>
          <w:vertAlign w:val="baseline"/>
          <w:lang w:val="en-US"/>
        </w:rPr>
        <w:t xml:space="preserve">The same crime is elevated to a Class E felony if either the stolen services have a value in excess of $1,000 or the defendant has been convicted under Penal Law § 165.15(5)(a) within the previous five years. When one of those circumstances applies, see the charge at 165-1100, </w:t>
      </w:r>
      <w:r>
        <w:rPr>
          <w:rFonts w:ascii="Arial" w:hAnsi="Arial" w:eastAsia="Arial"/>
          <w:strike w:val="false"/>
          <w:color w:val="000000"/>
          <w:spacing w:val="0"/>
          <w:w w:val="100"/>
          <w:sz w:val="19"/>
          <w:u w:val="single"/>
          <w:vertAlign w:val="baseline"/>
          <w:lang w:val="en-US"/>
        </w:rPr>
        <w:t xml:space="preserve">post.</w:t>
      </w:r>
      <w:r>
        <w:rPr>
          <w:rFonts w:ascii="Arial" w:hAnsi="Arial" w:eastAsia="Arial"/>
          <w:strike w:val="false"/>
          <w:color w:val="000000"/>
          <w:spacing w:val="0"/>
          <w:w w:val="100"/>
          <w:sz w:val="19"/>
          <w:vertAlign w:val="baseline"/>
          <w:lang w:val="en-US"/>
        </w:rPr>
        <w:t xml:space="preserve">
</w:t>
      </w:r>
    </w:p>
    <w:p>
      <w:pPr>
        <w:pageBreakBefore w:val="false"/>
        <w:spacing w:before="0" w:after="0" w:line="507"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</w:t>
        <w:br/>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165.15(5).</w:t>
      </w:r>
    </w:p>
    <w:p>
      <w:pPr>
        <w:sectPr>
          <w:type w:val="nextPage"/>
          <w:pgSz w:w="12240" w:h="15840" w:orient="portrait"/>
          <w:pgMar w:bottom="1004" w:top="1400" w:right="2120" w:left="2160" w:header="720" w:footer="720"/>
          <w:titlePg w:val="false"/>
          <w:textDirection w:val="lrTb"/>
        </w:sectPr>
      </w:pPr>
    </w:p>
    <w:p>
      <w:pPr>
        <w:pageBreakBefore w:val="false"/>
        <w:numPr>
          <w:ilvl w:val="0"/>
          <w:numId w:val="1"/>
        </w:numPr>
        <w:tabs>
          <w:tab w:val="clear" w:pos="720"/>
          <w:tab w:val="left" w:pos="1440"/>
        </w:tabs>
        <w:spacing w:before="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sold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offered for sale]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made available]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used] an existing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revoked]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cancelled] telephone service access device without consent; and</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the lawful charge for a telephone service which was provided for a charge or compensation.</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685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6850" w:line="324" w:lineRule="exact"/>
        <w:sectPr>
          <w:type w:val="nextPage"/>
          <w:pgSz w:w="12240" w:h="15840" w:orient="portrait"/>
          <w:pgMar w:bottom="1024" w:top="1440" w:right="2123" w:left="2157"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4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