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(Motor Vehicle; Value Exceeds $100]</w:t>
        <w:br/>
      </w:r>
      <w:r>
        <w:rPr>
          <w:rFonts w:ascii="Arial" w:hAnsi="Arial" w:eastAsia="Arial"/>
          <w:b w:val="true"/>
          <w:strike w:val="false"/>
          <w:color w:val="000000"/>
          <w:spacing w:val="0"/>
          <w:w w:val="100"/>
          <w:sz w:val="28"/>
          <w:vertAlign w:val="baseline"/>
          <w:lang w:val="en-US"/>
        </w:rPr>
        <w:t xml:space="preserve">Penal Law § 165.45(5)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64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Fourth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the value of the property exceeds one hundred dollars [$100] and the property consists of a motor vehicle.</w:t>
      </w:r>
    </w:p>
    <w:p>
      <w:pPr>
        <w:pageBreakBefore w:val="false"/>
        <w:spacing w:before="349"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defendant is a collateral loan broker or dealer in property, add the appropriate presumption from the "Additional Charges" section of this Article.]</w:t>
      </w:r>
    </w:p>
    <w:p>
      <w:pPr>
        <w:pageBreakBefore w:val="false"/>
        <w:spacing w:before="319" w:after="656"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p>
    <w:p>
      <w:pPr>
        <w:pageBreakBefore w:val="false"/>
        <w:spacing w:before="290" w:after="0" w:line="230" w:lineRule="exact"/>
        <w:ind w:right="216" w:left="0" w:firstLine="288"/>
        <w:jc w:val="left"/>
        <w:textAlignment w:val="baseline"/>
        <w:rPr>
          <w:rFonts w:ascii="Arial" w:hAnsi="Arial" w:eastAsia="Arial"/>
          <w:strike w:val="false"/>
          <w:color w:val="000000"/>
          <w:spacing w:val="0"/>
          <w:w w:val="100"/>
          <w:sz w:val="14"/>
          <w:vertAlign w:val="superscript"/>
          <w:lang w:val="en-US"/>
        </w:rPr>
      </w:pPr>
      <w:r>
        <w:pict>
          <v:line strokeweight="1.2pt" strokecolor="#000000" from="107.75pt,609.35pt" to="252.05pt,609.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19"/>
          <w:vertAlign w:val="baseline"/>
          <w:lang w:val="en-US"/>
        </w:rPr>
        <w:t xml:space="preserve">Penal Law § 165.45(5) provides that the property must be a motor vehicle as defined in VTL § 125, "other than a motorcycle" as defined in VTL § 123. If the definition of motor vehicle is in issue, it should be charged.</w:t>
      </w:r>
    </w:p>
    <w:p>
      <w:pPr>
        <w:pageBreakBefore w:val="false"/>
        <w:spacing w:before="267" w:after="0" w:line="230"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w:t>
      </w:r>
    </w:p>
    <w:p>
      <w:pPr>
        <w:pageBreakBefore w:val="false"/>
        <w:spacing w:before="280" w:after="0" w:line="238" w:lineRule="exact"/>
        <w:ind w:right="216" w:left="0" w:firstLine="288"/>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3</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§10.00(8). Where constructive possession is alleged, insert the appropriate instruction as found in the “Additional Charges” section at the end of this article.</w:t>
      </w:r>
    </w:p>
    <w:p>
      <w:pPr>
        <w:sectPr>
          <w:type w:val="nextPage"/>
          <w:pgSz w:w="12240" w:h="15840" w:orient="portrait"/>
          <w:pgMar w:bottom="1024" w:top="1440" w:right="2125" w:left="2155" w:header="720" w:footer="0"/>
          <w:titlePg w:val="false"/>
          <w:textDirection w:val="lrTb"/>
        </w:sectPr>
      </w:pPr>
    </w:p>
    <w:p>
      <w:pPr>
        <w:pageBreakBefore w:val="false"/>
        <w:spacing w:before="13" w:after="0" w:line="31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PROPERTY means any money, personal property or thing of value.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9" w:after="0" w:line="326"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5</w:t>
      </w:r>
      <w:r>
        <w:rPr>
          <w:rFonts w:ascii="Arial" w:hAnsi="Arial" w:eastAsia="Arial"/>
          <w:strike w:val="false"/>
          <w:color w:val="000000"/>
          <w:spacing w:val="-3"/>
          <w:w w:val="100"/>
          <w:sz w:val="17"/>
          <w:vertAlign w:val="baseline"/>
          <w:lang w:val="en-US"/>
        </w:rPr>
        <w:t xml:space="preserve">
</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06"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w:t>
      </w:r>
      <w:r>
        <w:rPr>
          <w:rFonts w:ascii="Arial" w:hAnsi="Arial" w:eastAsia="Arial"/>
          <w:strike w:val="false"/>
          <w:color w:val="000000"/>
          <w:spacing w:val="-2"/>
          <w:w w:val="100"/>
          <w:sz w:val="28"/>
          <w:vertAlign w:val="superscript"/>
          <w:lang w:val="en-US"/>
        </w:rPr>
        <w:t xml:space="preserve">7</w:t>
      </w:r>
      <w:r>
        <w:rPr>
          <w:rFonts w:ascii="Arial" w:hAnsi="Arial" w:eastAsia="Arial"/>
          <w:strike w:val="false"/>
          <w:color w:val="000000"/>
          <w:spacing w:val="-2"/>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17" w:after="1805"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OWNER means a person having a right to possession</w:t>
      </w:r>
    </w:p>
    <w:p>
      <w:pPr>
        <w:pageBreakBefore w:val="false"/>
        <w:spacing w:before="298" w:after="0" w:line="226" w:lineRule="exact"/>
        <w:ind w:right="144" w:left="0" w:firstLine="288"/>
        <w:jc w:val="left"/>
        <w:textAlignment w:val="baseline"/>
        <w:rPr>
          <w:rFonts w:ascii="Arial" w:hAnsi="Arial" w:eastAsia="Arial"/>
          <w:strike w:val="false"/>
          <w:color w:val="000000"/>
          <w:spacing w:val="0"/>
          <w:w w:val="100"/>
          <w:sz w:val="14"/>
          <w:vertAlign w:val="superscript"/>
          <w:lang w:val="en-US"/>
        </w:rPr>
      </w:pPr>
      <w:r>
        <w:pict>
          <v:line strokeweight="0.95pt" strokecolor="#000000" from="107.5pt,568.55pt" to="252.05pt,568.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156.00(2) and (3).</w:t>
      </w:r>
    </w:p>
    <w:p>
      <w:pPr>
        <w:pageBreakBefore w:val="false"/>
        <w:spacing w:before="0" w:after="0" w:line="510"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</w:t>
        <w:br/>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165.55(1).</w:t>
      </w:r>
    </w:p>
    <w:p>
      <w:pPr>
        <w:sectPr>
          <w:footerReference w:type="default" r:id="fId0"/>
          <w:type w:val="nextPage"/>
          <w:pgSz w:w="12240" w:h="15840" w:orient="portrait"/>
          <w:pgMar w:bottom="1307" w:top="1440" w:right="2130" w:left="2150" w:header="720" w:footer="1493"/>
          <w:titlePg w:val="false"/>
          <w:textDirection w:val="lrTb"/>
        </w:sectPr>
      </w:pPr>
    </w:p>
    <w:p>
      <w:pPr>
        <w:pageBreakBefore w:val="false"/>
        <w:spacing w:before="38" w:after="0" w:line="325" w:lineRule="exact"/>
        <w:ind w:right="0" w:left="0" w:firstLine="0"/>
        <w:jc w:val="center"/>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of the property superior to that of the person who possesses it.</w:t>
      </w:r>
      <w:r>
        <w:rPr>
          <w:rFonts w:ascii="Arial" w:hAnsi="Arial" w:eastAsia="Arial"/>
          <w:strike w:val="false"/>
          <w:color w:val="000000"/>
          <w:spacing w:val="-1"/>
          <w:w w:val="100"/>
          <w:sz w:val="28"/>
          <w:vertAlign w:val="superscript"/>
          <w:lang w:val="en-US"/>
        </w:rPr>
        <w:t xml:space="preserve">8</w:t>
      </w:r>
      <w:r>
        <w:rPr>
          <w:rFonts w:ascii="Arial" w:hAnsi="Arial" w:eastAsia="Arial"/>
          <w:strike w:val="false"/>
          <w:color w:val="000000"/>
          <w:spacing w:val="-1"/>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VALUE means the market value of the property at the time and place the defendant is alleged to have possessed it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if such cannot be satisfactorily ascertained, the cost of replacement of the property within a reasonable time thereafter].</w:t>
      </w:r>
      <w:r>
        <w:rPr>
          <w:rFonts w:ascii="Arial" w:hAnsi="Arial" w:eastAsia="Arial"/>
          <w:strike w:val="false"/>
          <w:color w:val="000000"/>
          <w:spacing w:val="-3"/>
          <w:w w:val="100"/>
          <w:sz w:val="28"/>
          <w:vertAlign w:val="superscript"/>
          <w:lang w:val="en-US"/>
        </w:rPr>
        <w:t xml:space="preserve">9</w:t>
      </w:r>
      <w:r>
        <w:rPr>
          <w:rFonts w:ascii="Arial" w:hAnsi="Arial" w:eastAsia="Arial"/>
          <w:strike w:val="false"/>
          <w:color w:val="000000"/>
          <w:spacing w:val="-3"/>
          <w:w w:val="100"/>
          <w:sz w:val="17"/>
          <w:vertAlign w:val="baseline"/>
          <w:lang w:val="en-US"/>
        </w:rPr>
        <w:t xml:space="preserve">
</w:t>
      </w:r>
    </w:p>
    <w:p>
      <w:pPr>
        <w:pageBreakBefore w:val="false"/>
        <w:spacing w:before="333" w:after="0" w:line="317"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0" w:line="323"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person who stole the property has not been</w:t>
      </w:r>
    </w:p>
    <w:p>
      <w:pPr>
        <w:pageBreakBefore w:val="false"/>
        <w:spacing w:before="0" w:after="0" w:line="319"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convicted, apprehended, or identified.</w:t>
      </w:r>
      <w:r>
        <w:rPr>
          <w:rFonts w:ascii="Arial" w:hAnsi="Arial" w:eastAsia="Arial"/>
          <w:strike w:val="false"/>
          <w:color w:val="000000"/>
          <w:spacing w:val="-2"/>
          <w:w w:val="100"/>
          <w:sz w:val="28"/>
          <w:vertAlign w:val="superscript"/>
          <w:lang w:val="en-US"/>
        </w:rPr>
        <w:t xml:space="preserve">10</w:t>
      </w:r>
      <w:r>
        <w:rPr>
          <w:rFonts w:ascii="Arial" w:hAnsi="Arial" w:eastAsia="Arial"/>
          <w:strike w:val="false"/>
          <w:color w:val="000000"/>
          <w:spacing w:val="-2"/>
          <w:w w:val="100"/>
          <w:sz w:val="17"/>
          <w:vertAlign w:val="baseline"/>
          <w:lang w:val="en-US"/>
        </w:rPr>
        <w:t xml:space="preserve">
</w:t>
      </w:r>
    </w:p>
    <w:p>
      <w:pPr>
        <w:pageBreakBefore w:val="false"/>
        <w:spacing w:before="337"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0" w:after="0" w:line="318"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stole or participated in the theft of</w:t>
      </w:r>
    </w:p>
    <w:p>
      <w:pPr>
        <w:pageBreakBefore w:val="false"/>
        <w:spacing w:before="0" w:after="0" w:line="322"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the property.</w:t>
      </w:r>
      <w:r>
        <w:rPr>
          <w:rFonts w:ascii="Arial" w:hAnsi="Arial" w:eastAsia="Arial"/>
          <w:strike w:val="false"/>
          <w:color w:val="000000"/>
          <w:spacing w:val="-9"/>
          <w:w w:val="100"/>
          <w:sz w:val="28"/>
          <w:vertAlign w:val="superscript"/>
          <w:lang w:val="en-US"/>
        </w:rPr>
        <w:t xml:space="preserve">11</w:t>
      </w:r>
      <w:r>
        <w:rPr>
          <w:rFonts w:ascii="Arial" w:hAnsi="Arial" w:eastAsia="Arial"/>
          <w:strike w:val="false"/>
          <w:color w:val="000000"/>
          <w:spacing w:val="-9"/>
          <w:w w:val="100"/>
          <w:sz w:val="17"/>
          <w:vertAlign w:val="baseline"/>
          <w:lang w:val="en-US"/>
        </w:rPr>
        <w:t xml:space="preserve">
</w:t>
      </w:r>
    </w:p>
    <w:p>
      <w:pPr>
        <w:pageBreakBefore w:val="false"/>
        <w:spacing w:before="334"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0" w:after="0" w:line="323"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theft of the property did not occur within this</w:t>
      </w:r>
    </w:p>
    <w:p>
      <w:pPr>
        <w:pageBreakBefore w:val="false"/>
        <w:spacing w:before="0" w:after="0" w:line="322"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state.)]</w:t>
      </w:r>
      <w:r>
        <w:rPr>
          <w:rFonts w:ascii="Arial" w:hAnsi="Arial" w:eastAsia="Arial"/>
          <w:strike w:val="false"/>
          <w:color w:val="000000"/>
          <w:spacing w:val="-11"/>
          <w:w w:val="100"/>
          <w:sz w:val="28"/>
          <w:vertAlign w:val="superscript"/>
          <w:lang w:val="en-US"/>
        </w:rPr>
        <w:t xml:space="preserve">12</w:t>
      </w:r>
      <w:r>
        <w:rPr>
          <w:rFonts w:ascii="Arial" w:hAnsi="Arial" w:eastAsia="Arial"/>
          <w:strike w:val="false"/>
          <w:color w:val="000000"/>
          <w:spacing w:val="-11"/>
          <w:w w:val="100"/>
          <w:sz w:val="17"/>
          <w:vertAlign w:val="baseline"/>
          <w:lang w:val="en-US"/>
        </w:rPr>
        <w:t xml:space="preserve">
</w:t>
      </w:r>
    </w:p>
    <w:p>
      <w:pPr>
        <w:pageBreakBefore w:val="false"/>
        <w:spacing w:before="329" w:after="518"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w:t>
      </w:r>
    </w:p>
    <w:p>
      <w:pPr>
        <w:pageBreakBefore w:val="false"/>
        <w:spacing w:before="312" w:after="0" w:line="222" w:lineRule="exact"/>
        <w:ind w:right="72" w:left="0" w:firstLine="360"/>
        <w:jc w:val="left"/>
        <w:textAlignment w:val="baseline"/>
        <w:rPr>
          <w:rFonts w:ascii="Arial" w:hAnsi="Arial" w:eastAsia="Arial"/>
          <w:strike w:val="false"/>
          <w:color w:val="000000"/>
          <w:spacing w:val="0"/>
          <w:w w:val="100"/>
          <w:sz w:val="14"/>
          <w:vertAlign w:val="superscript"/>
          <w:lang w:val="en-US"/>
        </w:rPr>
      </w:pPr>
      <w:r>
        <w:pict>
          <v:line strokeweight="1.2pt" strokecolor="#000000" from="107.5pt,487.45pt" to="252.05pt,487.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88" w:after="0" w:line="222" w:lineRule="exact"/>
        <w:ind w:right="144" w:left="0" w:firstLine="36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9</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155.20(1); </w:t>
      </w:r>
      <w:r>
        <w:rPr>
          <w:rFonts w:ascii="Arial" w:hAnsi="Arial" w:eastAsia="Arial"/>
          <w:i w:val="true"/>
          <w:strike w:val="false"/>
          <w:color w:val="000000"/>
          <w:spacing w:val="1"/>
          <w:w w:val="100"/>
          <w:sz w:val="19"/>
          <w:vertAlign w:val="baseline"/>
          <w:lang w:val="en-US"/>
        </w:rPr>
        <w:t xml:space="preserve">People v. Corbett, </w:t>
      </w:r>
      <w:r>
        <w:rPr>
          <w:rFonts w:ascii="Arial" w:hAnsi="Arial" w:eastAsia="Arial"/>
          <w:strike w:val="false"/>
          <w:color w:val="000000"/>
          <w:spacing w:val="1"/>
          <w:w w:val="100"/>
          <w:sz w:val="19"/>
          <w:vertAlign w:val="baseline"/>
          <w:lang w:val="en-US"/>
        </w:rPr>
        <w:t xml:space="preserve">129 AD2d 433 (1st Dept. 1987); </w:t>
      </w:r>
      <w:r>
        <w:rPr>
          <w:rFonts w:ascii="Arial" w:hAnsi="Arial" w:eastAsia="Arial"/>
          <w:i w:val="true"/>
          <w:strike w:val="false"/>
          <w:color w:val="000000"/>
          <w:spacing w:val="1"/>
          <w:w w:val="100"/>
          <w:sz w:val="19"/>
          <w:vertAlign w:val="baseline"/>
          <w:lang w:val="en-US"/>
        </w:rPr>
        <w:t xml:space="preserve">People v. Oakley, </w:t>
      </w:r>
      <w:r>
        <w:rPr>
          <w:rFonts w:ascii="Arial" w:hAnsi="Arial" w:eastAsia="Arial"/>
          <w:strike w:val="false"/>
          <w:color w:val="000000"/>
          <w:spacing w:val="1"/>
          <w:w w:val="100"/>
          <w:sz w:val="19"/>
          <w:vertAlign w:val="baseline"/>
          <w:lang w:val="en-US"/>
        </w:rPr>
        <w:t xml:space="preserve">95 AD2d 944 (3d Dept. 1983). For methods of establishing the value of items which do not have a readily ascertainable market value, </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155.20(2), (3) and (4).</w:t>
      </w:r>
    </w:p>
    <w:p>
      <w:pPr>
        <w:pageBreakBefore w:val="false"/>
        <w:spacing w:before="0" w:after="0" w:line="511"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19"/>
          <w:vertAlign w:val="baseline"/>
          <w:lang w:val="en-US"/>
        </w:rPr>
        <w:t xml:space="preserve">See Penal Law § 165.60(1).</w:t>
        <w:br/>
      </w:r>
      <w:r>
        <w:rPr>
          <w:rFonts w:ascii="Arial" w:hAnsi="Arial" w:eastAsia="Arial"/>
          <w:strike w:val="false"/>
          <w:color w:val="000000"/>
          <w:spacing w:val="0"/>
          <w:w w:val="100"/>
          <w:sz w:val="14"/>
          <w:vertAlign w:val="superscript"/>
          <w:lang w:val="en-US"/>
        </w:rPr>
        <w:t xml:space="preserve">11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165.60(2).</w:t>
        <w:br/>
      </w: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19"/>
          <w:vertAlign w:val="baseline"/>
          <w:lang w:val="en-US"/>
        </w:rPr>
        <w:t xml:space="preserve">See Penal Law § 165.60(3).</w:t>
      </w:r>
    </w:p>
    <w:p>
      <w:pPr>
        <w:sectPr>
          <w:type w:val="nextPage"/>
          <w:pgSz w:w="12240" w:h="15840" w:orient="portrait"/>
          <w:pgMar w:bottom="1307" w:top="1400" w:right="2130" w:left="2150" w:header="720" w:footer="1488"/>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beyond a reasonable doubt, each of the following three elements:</w:t>
      </w:r>
    </w:p>
    <w:p>
      <w:pPr>
        <w:pageBreakBefore w:val="false"/>
        <w:numPr>
          <w:ilvl w:val="0"/>
          <w:numId w:val="1"/>
        </w:numPr>
        <w:tabs>
          <w:tab w:val="clear" w:pos="648"/>
          <w:tab w:val="left" w:pos="1440"/>
        </w:tabs>
        <w:spacing w:before="329" w:after="0" w:line="324"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w:t>
      </w:r>
    </w:p>
    <w:p>
      <w:pPr>
        <w:pageBreakBefore w:val="false"/>
        <w:numPr>
          <w:ilvl w:val="0"/>
          <w:numId w:val="1"/>
        </w:numPr>
        <w:tabs>
          <w:tab w:val="clear" w:pos="648"/>
          <w:tab w:val="left" w:pos="1440"/>
        </w:tabs>
        <w:spacing w:before="326"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an owner of such property or to impede the recovery of such property by an owner; and</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stolen property consisted of a motor vehicle with a value which exceeded one hundred dollars [$100].</w:t>
      </w:r>
    </w:p>
    <w:p>
      <w:pPr>
        <w:pageBreakBefore w:val="false"/>
        <w:spacing w:before="324" w:after="0" w:line="324"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7"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corroboration requirement of Penal Law § 165.65 applies, a corroboration charge must be given.]</w:t>
      </w:r>
    </w:p>
    <w:sectPr>
      <w:type w:val="nextPage"/>
      <w:pgSz w:w="12240" w:h="15840" w:orient="portrait"/>
      <w:pgMar w:bottom="1316" w:top="1440" w:right="2133" w:left="2147"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6"/>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