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0" w:line="305"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CRIMINAL POSSESSION OF FORGERY DEVICES</w:t>
        <w:br/>
      </w:r>
      <w:r>
        <w:rPr>
          <w:rFonts w:ascii="Arial" w:hAnsi="Arial" w:eastAsia="Arial"/>
          <w:b w:val="true"/>
          <w:color w:val="000000"/>
          <w:spacing w:val="0"/>
          <w:w w:val="100"/>
          <w:sz w:val="26"/>
          <w:vertAlign w:val="baseline"/>
          <w:lang w:val="en-US"/>
        </w:rPr>
        <w:t xml:space="preserve">(Make or Possess Counterfeiting Device)</w:t>
        <w:br/>
      </w:r>
      <w:r>
        <w:rPr>
          <w:rFonts w:ascii="Arial" w:hAnsi="Arial" w:eastAsia="Arial"/>
          <w:b w:val="true"/>
          <w:color w:val="000000"/>
          <w:spacing w:val="0"/>
          <w:w w:val="100"/>
          <w:sz w:val="26"/>
          <w:vertAlign w:val="baseline"/>
          <w:lang w:val="en-US"/>
        </w:rPr>
        <w:t xml:space="preserve">Penal Law § 170.40(1)</w:t>
        <w:br/>
      </w:r>
      <w:r>
        <w:rPr>
          <w:rFonts w:ascii="Arial" w:hAnsi="Arial" w:eastAsia="Arial"/>
          <w:b w:val="true"/>
          <w:color w:val="000000"/>
          <w:spacing w:val="0"/>
          <w:w w:val="100"/>
          <w:sz w:val="26"/>
          <w:vertAlign w:val="baseline"/>
          <w:lang w:val="en-US"/>
        </w:rPr>
        <w:t xml:space="preserve">(Committed on or after Sept. 1, 1967)</w:t>
        <w:br/>
      </w:r>
      <w:r>
        <w:rPr>
          <w:rFonts w:ascii="Arial" w:hAnsi="Arial" w:eastAsia="Arial"/>
          <w:color w:val="000000"/>
          <w:spacing w:val="0"/>
          <w:w w:val="100"/>
          <w:sz w:val="26"/>
          <w:vertAlign w:val="baseline"/>
          <w:lang w:val="en-US"/>
        </w:rPr>
        <w:t xml:space="preserve">Revised Dec. 2019 </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05" w:after="0" w:line="298" w:lineRule="exact"/>
        <w:ind w:right="0" w:left="720" w:firstLine="0"/>
        <w:jc w:val="left"/>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The (</w:t>
      </w:r>
      <w:r>
        <w:rPr>
          <w:rFonts w:ascii="Arial" w:hAnsi="Arial" w:eastAsia="Arial"/>
          <w:i w:val="true"/>
          <w:color w:val="000000"/>
          <w:spacing w:val="-2"/>
          <w:w w:val="100"/>
          <w:sz w:val="26"/>
          <w:u w:val="single"/>
          <w:vertAlign w:val="baseline"/>
          <w:lang w:val="en-US"/>
        </w:rPr>
        <w:t xml:space="preserve">specify</w:t>
      </w:r>
      <w:r>
        <w:rPr>
          <w:rFonts w:ascii="Arial" w:hAnsi="Arial" w:eastAsia="Arial"/>
          <w:color w:val="000000"/>
          <w:spacing w:val="-2"/>
          <w:w w:val="100"/>
          <w:sz w:val="26"/>
          <w:vertAlign w:val="baseline"/>
          <w:lang w:val="en-US"/>
        </w:rPr>
        <w:t xml:space="preserve">) count is Criminal Possession of Forgery Devices.</w:t>
      </w:r>
    </w:p>
    <w:p>
      <w:pPr>
        <w:pageBreakBefore w:val="false"/>
        <w:spacing w:before="294"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is guilty of Criminal Possession of Forgery Devices when he or she makes or possesses with knowledge of its character any plate, die or other device, apparatus, equipment, or article specifically designed for use in counterfeiting or otherwise forging written instruments.</w:t>
      </w:r>
    </w:p>
    <w:p>
      <w:pPr>
        <w:pageBreakBefore w:val="false"/>
        <w:spacing w:before="292"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310" w:after="0" w:line="29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POSSESS means to have physical possession or otherwise to exercise dominion or control over tangible property.</w:t>
      </w:r>
      <w:r>
        <w:rPr>
          <w:rFonts w:ascii="Arial" w:hAnsi="Arial" w:eastAsia="Arial"/>
          <w:color w:val="000000"/>
          <w:spacing w:val="0"/>
          <w:w w:val="100"/>
          <w:sz w:val="26"/>
          <w:vertAlign w:val="superscript"/>
          <w:lang w:val="en-US"/>
        </w:rPr>
        <w:t xml:space="preserve">2</w:t>
      </w:r>
      <w:r>
        <w:rPr>
          <w:rFonts w:ascii="Arial" w:hAnsi="Arial" w:eastAsia="Arial"/>
          <w:color w:val="000000"/>
          <w:spacing w:val="0"/>
          <w:w w:val="100"/>
          <w:sz w:val="16"/>
          <w:vertAlign w:val="baseline"/>
          <w:lang w:val="en-US"/>
        </w:rPr>
        <w:t xml:space="preserve">
</w:t>
      </w:r>
    </w:p>
    <w:p>
      <w:pPr>
        <w:pageBreakBefore w:val="false"/>
        <w:spacing w:before="293" w:after="0" w:line="298" w:lineRule="exact"/>
        <w:ind w:right="0" w:left="0" w:firstLine="720"/>
        <w:jc w:val="both"/>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A 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advantage or disadvantage of some person.</w:t>
      </w:r>
      <w:r>
        <w:rPr>
          <w:rFonts w:ascii="Arial" w:hAnsi="Arial" w:eastAsia="Arial"/>
          <w:color w:val="000000"/>
          <w:spacing w:val="-3"/>
          <w:w w:val="100"/>
          <w:sz w:val="26"/>
          <w:vertAlign w:val="superscript"/>
          <w:lang w:val="en-US"/>
        </w:rPr>
        <w:t xml:space="preserve">3</w:t>
      </w:r>
      <w:r>
        <w:rPr>
          <w:rFonts w:ascii="Arial" w:hAnsi="Arial" w:eastAsia="Arial"/>
          <w:color w:val="000000"/>
          <w:spacing w:val="-3"/>
          <w:w w:val="100"/>
          <w:sz w:val="16"/>
          <w:vertAlign w:val="baseline"/>
          <w:lang w:val="en-US"/>
        </w:rPr>
        <w:t xml:space="preserve">
</w:t>
      </w:r>
    </w:p>
    <w:p>
      <w:pPr>
        <w:pageBreakBefore w:val="false"/>
        <w:spacing w:before="299"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FORGED WRITTEN INSTRUMENT means a written instrument that is falsely made, completed or altered.</w:t>
      </w:r>
      <w:r>
        <w:rPr>
          <w:rFonts w:ascii="Arial" w:hAnsi="Arial" w:eastAsia="Arial"/>
          <w:color w:val="000000"/>
          <w:spacing w:val="0"/>
          <w:w w:val="100"/>
          <w:sz w:val="26"/>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00" w:after="315"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of the evidence in the case,</w:t>
      </w:r>
    </w:p>
    <w:p>
      <w:pPr>
        <w:pageBreakBefore w:val="false"/>
        <w:spacing w:before="254" w:after="0" w:line="280" w:lineRule="exact"/>
        <w:ind w:right="0" w:left="0" w:firstLine="720"/>
        <w:jc w:val="both"/>
        <w:textAlignment w:val="baseline"/>
        <w:rPr>
          <w:rFonts w:ascii="Arial" w:hAnsi="Arial" w:eastAsia="Arial"/>
          <w:color w:val="000000"/>
          <w:spacing w:val="0"/>
          <w:w w:val="100"/>
          <w:sz w:val="17"/>
          <w:vertAlign w:val="baseline"/>
          <w:lang w:val="en-US"/>
        </w:rPr>
      </w:pPr>
      <w:r>
        <w:pict>
          <v:line strokeweight="1.2pt" strokecolor="#000000" from="107.75pt,564pt" to="252.05pt,564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 </w:t>
      </w:r>
      <w:r>
        <w:rPr>
          <w:rFonts w:ascii="Arial" w:hAnsi="Arial" w:eastAsia="Arial"/>
          <w:color w:val="000000"/>
          <w:spacing w:val="0"/>
          <w:w w:val="100"/>
          <w:sz w:val="24"/>
          <w:vertAlign w:val="baseline"/>
          <w:lang w:val="en-US"/>
        </w:rPr>
        <w:t xml:space="preserve">The December 2019 revision was for the purpose of adding the definition of “forged written instrument.”</w:t>
      </w:r>
    </w:p>
    <w:p>
      <w:pPr>
        <w:pageBreakBefore w:val="false"/>
        <w:spacing w:before="274" w:after="0" w:line="280" w:lineRule="exact"/>
        <w:ind w:right="0" w:left="0" w:firstLine="72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3"/>
          <w:vertAlign w:val="baseline"/>
          <w:lang w:val="en-US"/>
        </w:rPr>
        <w:t xml:space="preserve">Penal Law §10.00(8). </w:t>
      </w:r>
      <w:r>
        <w:rPr>
          <w:rFonts w:ascii="Arial" w:hAnsi="Arial" w:eastAsia="Arial"/>
          <w:color w:val="000000"/>
          <w:spacing w:val="0"/>
          <w:w w:val="100"/>
          <w:sz w:val="24"/>
          <w:vertAlign w:val="baseline"/>
          <w:lang w:val="en-US"/>
        </w:rPr>
        <w:t xml:space="preserve">If necessary, an expanded definition of "possession" is available in the section on Instructions of General Applicability under Possession.</w:t>
      </w:r>
    </w:p>
    <w:p>
      <w:pPr>
        <w:pageBreakBefore w:val="false"/>
        <w:spacing w:before="202" w:after="0" w:line="295" w:lineRule="exact"/>
        <w:ind w:right="0" w:left="720" w:firstLine="0"/>
        <w:jc w:val="left"/>
        <w:textAlignment w:val="baseline"/>
        <w:rPr>
          <w:rFonts w:ascii="Arial" w:hAnsi="Arial" w:eastAsia="Arial"/>
          <w:color w:val="000000"/>
          <w:spacing w:val="-2"/>
          <w:w w:val="100"/>
          <w:sz w:val="17"/>
          <w:vertAlign w:val="baseline"/>
          <w:lang w:val="en-US"/>
        </w:rPr>
      </w:pPr>
      <w:r>
        <w:rPr>
          <w:rFonts w:ascii="Arial" w:hAnsi="Arial" w:eastAsia="Arial"/>
          <w:color w:val="000000"/>
          <w:spacing w:val="-2"/>
          <w:w w:val="100"/>
          <w:sz w:val="17"/>
          <w:vertAlign w:val="baseline"/>
          <w:lang w:val="en-US"/>
        </w:rPr>
        <w:t xml:space="preserve">3 </w:t>
      </w:r>
      <w:r>
        <w:rPr>
          <w:rFonts w:ascii="Arial" w:hAnsi="Arial" w:eastAsia="Arial"/>
          <w:color w:val="000000"/>
          <w:spacing w:val="-2"/>
          <w:w w:val="100"/>
          <w:sz w:val="23"/>
          <w:vertAlign w:val="baseline"/>
          <w:lang w:val="en-US"/>
        </w:rPr>
        <w:t xml:space="preserve">Penal Law §170.00(1).</w:t>
      </w:r>
    </w:p>
    <w:p>
      <w:pPr>
        <w:pageBreakBefore w:val="false"/>
        <w:spacing w:before="291" w:after="0" w:line="261" w:lineRule="exact"/>
        <w:ind w:right="0" w:left="0" w:firstLine="72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color w:val="000000"/>
          <w:spacing w:val="0"/>
          <w:w w:val="100"/>
          <w:sz w:val="22"/>
          <w:vertAlign w:val="baseline"/>
          <w:lang w:val="en-US"/>
        </w:rPr>
        <w:t xml:space="preserve">This definition was added in Dec. 2019. See Penal Law § 170.00(7). If necessary, definitions of “falsely made,” “falsely completed” or “falsely altered” are also set forth in Penal Law § 170.00.</w:t>
      </w:r>
    </w:p>
    <w:p>
      <w:pPr>
        <w:sectPr>
          <w:type w:val="nextPage"/>
          <w:pgSz w:w="12240" w:h="15840" w:orient="portrait"/>
          <w:pgMar w:bottom="664" w:top="1080" w:right="2145" w:left="2155" w:header="720" w:footer="720"/>
          <w:titlePg w:val="false"/>
          <w:textDirection w:val="lrTb"/>
        </w:sectPr>
      </w:pPr>
    </w:p>
    <w:p>
      <w:pPr>
        <w:pageBreakBefore w:val="false"/>
        <w:spacing w:before="12" w:after="0" w:line="294"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beyond a reasonable doubt, both of the following two elements:</w:t>
      </w:r>
    </w:p>
    <w:p>
      <w:pPr>
        <w:pageBreakBefore w:val="false"/>
        <w:numPr>
          <w:ilvl w:val="0"/>
          <w:numId w:val="1"/>
        </w:numPr>
        <w:tabs>
          <w:tab w:val="clear" w:pos="720"/>
          <w:tab w:val="left" w:pos="1440"/>
        </w:tabs>
        <w:spacing w:before="301" w:after="0" w:line="296"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vertAlign w:val="baseline"/>
          <w:lang w:val="en-US"/>
        </w:rPr>
        <w:t xml:space="preserve">, in the County of </w:t>
      </w:r>
      <w:r>
        <w:rPr>
          <w:rFonts w:ascii="Arial" w:hAnsi="Arial" w:eastAsia="Arial"/>
          <w:i w:val="true"/>
          <w:color w:val="000000"/>
          <w:spacing w:val="0"/>
          <w:w w:val="100"/>
          <w:sz w:val="26"/>
          <w:u w:val="single"/>
          <w:vertAlign w:val="baseline"/>
          <w:lang w:val="en-US"/>
        </w:rPr>
        <w:t xml:space="preserve">(County)</w:t>
      </w:r>
      <w:r>
        <w:rPr>
          <w:rFonts w:ascii="Arial" w:hAnsi="Arial" w:eastAsia="Arial"/>
          <w:color w:val="000000"/>
          <w:spacing w:val="0"/>
          <w:w w:val="100"/>
          <w:sz w:val="26"/>
          <w:vertAlign w:val="baseline"/>
          <w:lang w:val="en-US"/>
        </w:rPr>
        <w:t xml:space="preserve">, the defendant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vertAlign w:val="baseline"/>
          <w:lang w:val="en-US"/>
        </w:rPr>
        <w:t xml:space="preserve">, made or possessed any plate, die or other device, apparatus, equipment, or article specifically designed for use in counterfeiting or otherwise forging written instruments; and</w:t>
      </w:r>
    </w:p>
    <w:p>
      <w:pPr>
        <w:pageBreakBefore w:val="false"/>
        <w:numPr>
          <w:ilvl w:val="0"/>
          <w:numId w:val="1"/>
        </w:numPr>
        <w:tabs>
          <w:tab w:val="clear" w:pos="720"/>
          <w:tab w:val="left" w:pos="1440"/>
        </w:tabs>
        <w:spacing w:before="306" w:after="0" w:line="294" w:lineRule="exact"/>
        <w:ind w:right="0" w:left="1440" w:hanging="720"/>
        <w:jc w:val="both"/>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That the defendant did so with knowledge of its character.</w:t>
      </w:r>
    </w:p>
    <w:p>
      <w:pPr>
        <w:pageBreakBefore w:val="false"/>
        <w:spacing w:before="298" w:after="0" w:line="297" w:lineRule="exact"/>
        <w:ind w:right="0" w:left="0" w:firstLine="720"/>
        <w:jc w:val="both"/>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If you find the People have proven beyond a reasonable doubt both of those elements, you must find the defendant guilty of this crime.</w:t>
      </w:r>
    </w:p>
    <w:p>
      <w:pPr>
        <w:pageBreakBefore w:val="false"/>
        <w:spacing w:before="300" w:after="8636"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either one or both of those elements, you must find the defendant not guilty of this crime.</w:t>
      </w:r>
    </w:p>
    <w:p>
      <w:pPr>
        <w:spacing w:before="300" w:after="8636" w:line="297" w:lineRule="exact"/>
        <w:sectPr>
          <w:type w:val="nextPage"/>
          <w:pgSz w:w="12240" w:h="15840" w:orient="portrait"/>
          <w:pgMar w:bottom="664" w:top="1080" w:right="2145" w:left="2155"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sectPr>
      <w:type w:val="continuous"/>
      <w:pgSz w:w="12240" w:h="15840" w:orient="portrait"/>
      <w:pgMar w:bottom="66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