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IDENTITY THEFT FIRST DEGREE</w:t>
        <w:br/>
      </w:r>
      <w:r>
        <w:rPr>
          <w:rFonts w:ascii="Arial" w:hAnsi="Arial" w:eastAsia="Arial"/>
          <w:b w:val="true"/>
          <w:color w:val="000000"/>
          <w:spacing w:val="0"/>
          <w:w w:val="100"/>
          <w:sz w:val="28"/>
          <w:vertAlign w:val="baseline"/>
          <w:lang w:val="en-US"/>
        </w:rPr>
        <w:t xml:space="preserve">(Financial loss exceeding $2000)</w:t>
        <w:br/>
      </w:r>
      <w:r>
        <w:rPr>
          <w:rFonts w:ascii="Arial" w:hAnsi="Arial" w:eastAsia="Arial"/>
          <w:b w:val="true"/>
          <w:color w:val="000000"/>
          <w:spacing w:val="0"/>
          <w:w w:val="100"/>
          <w:sz w:val="28"/>
          <w:vertAlign w:val="baseline"/>
          <w:lang w:val="en-US"/>
        </w:rPr>
        <w:t xml:space="preserve">Penal Law § 190.80(2)</w:t>
        <w:br/>
      </w:r>
      <w:r>
        <w:rPr>
          <w:rFonts w:ascii="Arial" w:hAnsi="Arial" w:eastAsia="Arial"/>
          <w:b w:val="true"/>
          <w:color w:val="000000"/>
          <w:spacing w:val="0"/>
          <w:w w:val="100"/>
          <w:sz w:val="28"/>
          <w:vertAlign w:val="baseline"/>
          <w:lang w:val="en-US"/>
        </w:rPr>
        <w:t xml:space="preserve">(Committed on or after Nov. 1,2002)</w:t>
      </w:r>
    </w:p>
    <w:p>
      <w:pPr>
        <w:pageBreakBefore w:val="false"/>
        <w:spacing w:before="325" w:after="0" w:line="323"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Identity Theft in the First Degree.</w:t>
      </w:r>
    </w:p>
    <w:p>
      <w:pPr>
        <w:pageBreakBefore w:val="false"/>
        <w:spacing w:before="325"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Identity Theft in the First Degree when he or she knowingly, and with intent to defraud, assumes the identity of another person</w:t>
      </w:r>
    </w:p>
    <w:p>
      <w:pPr>
        <w:pageBreakBefore w:val="false"/>
        <w:spacing w:before="329"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4" w:after="0" w:line="32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0"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0"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thereby causes financial loss to such person or to another person in an aggregate amount that exceeds two thousand dollars.</w:t>
      </w:r>
    </w:p>
    <w:p>
      <w:pPr>
        <w:pageBreakBefore w:val="false"/>
        <w:spacing w:before="328"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assumes the identity of another person when that person is aware that he or she has assumed the identity of that other person.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his or her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3" w:after="225"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PERSONAL IDENTIFYING INFORMATION means a person’s</w:t>
      </w:r>
    </w:p>
    <w:p>
      <w:pPr>
        <w:pageBreakBefore w:val="false"/>
        <w:spacing w:before="264" w:after="0" w:line="276" w:lineRule="exact"/>
        <w:ind w:right="72"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18.7pt" to="252.05pt,618.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See People v. Roberts</w:t>
      </w:r>
      <w:r>
        <w:rPr>
          <w:rFonts w:ascii="Arial" w:hAnsi="Arial" w:eastAsia="Arial"/>
          <w:color w:val="000000"/>
          <w:spacing w:val="0"/>
          <w:w w:val="100"/>
          <w:sz w:val="24"/>
          <w:vertAlign w:val="baseline"/>
          <w:lang w:val="en-US"/>
        </w:rPr>
        <w:t xml:space="preserve">, 31 N.Y.3d 406, 419 (2018) (“the requirement that a defendant assumes the identity of another is not a separate element of the crime. Rather, it simply summarizes and introduces the three categories of conduct through which an identity may be assumed”).</w:t>
      </w:r>
    </w:p>
    <w:p>
      <w:pPr>
        <w:pageBreakBefore w:val="false"/>
        <w:spacing w:before="238"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§15.05(2).</w:t>
      </w:r>
    </w:p>
    <w:p>
      <w:pPr>
        <w:pageBreakBefore w:val="false"/>
        <w:spacing w:before="242"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§15.05(1).</w:t>
      </w:r>
    </w:p>
    <w:p>
      <w:pPr>
        <w:sectPr>
          <w:type w:val="nextPage"/>
          <w:pgSz w:w="12240" w:h="15840" w:orient="portrait"/>
          <w:pgMar w:bottom="644" w:top="1080" w:right="2140" w:left="2160" w:header="720" w:footer="720"/>
          <w:titlePg w:val="false"/>
          <w:textDirection w:val="lrTb"/>
        </w:sectPr>
      </w:pPr>
    </w:p>
    <w:p>
      <w:pPr>
        <w:pageBreakBefore w:val="false"/>
        <w:spacing w:before="1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Select the appropriate alternative(s)</w:t>
      </w:r>
    </w:p>
    <w:p>
      <w:pPr>
        <w:pageBreakBefore w:val="false"/>
        <w:spacing w:before="324" w:after="0" w:line="324"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name,</w:t>
      </w:r>
    </w:p>
    <w:p>
      <w:pPr>
        <w:pageBreakBefore w:val="false"/>
        <w:spacing w:before="2" w:after="0" w:line="324"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address,</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number,</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date of birth,</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driver’s license number,</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social security number,</w:t>
      </w:r>
    </w:p>
    <w:p>
      <w:pPr>
        <w:pageBreakBefore w:val="false"/>
        <w:spacing w:before="3" w:after="0" w:line="324" w:lineRule="exact"/>
        <w:ind w:right="0" w:left="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place of employment,</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mother’s maiden name,</w:t>
      </w:r>
    </w:p>
    <w:p>
      <w:pPr>
        <w:pageBreakBefore w:val="false"/>
        <w:spacing w:before="3"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financial services account number or code,</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savings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checking account number or code,</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brokerage account number or code,</w:t>
      </w:r>
    </w:p>
    <w:p>
      <w:pPr>
        <w:pageBreakBefore w:val="false"/>
        <w:spacing w:before="3"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credit card account number or code,</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debit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automated teller machine number or code,</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taxpayer identification number,</w:t>
      </w:r>
    </w:p>
    <w:p>
      <w:pPr>
        <w:pageBreakBefore w:val="false"/>
        <w:spacing w:before="3"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system password,</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signature or copy of a signature,</w:t>
      </w:r>
    </w:p>
    <w:p>
      <w:pPr>
        <w:pageBreakBefore w:val="false"/>
        <w:spacing w:before="0" w:after="0" w:line="321"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electronic signature</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28"/>
          <w:vertAlign w:val="baseline"/>
          <w:lang w:val="en-US"/>
        </w:rPr>
        <w:t xml:space="preserve">,</w:t>
      </w:r>
    </w:p>
    <w:p>
      <w:pPr>
        <w:pageBreakBefore w:val="false"/>
        <w:spacing w:before="8" w:after="0" w:line="324"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unique biometric data that is a fingerprint, voice print, retinal</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image or iris image of another person,</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calling card number,</w:t>
      </w:r>
    </w:p>
    <w:p>
      <w:pPr>
        <w:pageBreakBefore w:val="false"/>
        <w:spacing w:before="3"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mobile identification number or code,</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electronic serial number or</w:t>
      </w:r>
    </w:p>
    <w:p>
      <w:pPr>
        <w:pageBreakBefore w:val="false"/>
        <w:spacing w:before="0" w:after="0" w:line="318"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personal identification number</w:t>
      </w:r>
      <w:r>
        <w:rPr>
          <w:rFonts w:ascii="Arial" w:hAnsi="Arial" w:eastAsia="Arial"/>
          <w:color w:val="000000"/>
          <w:spacing w:val="-2"/>
          <w:w w:val="100"/>
          <w:sz w:val="28"/>
          <w:vertAlign w:val="superscript"/>
          <w:lang w:val="en-US"/>
        </w:rPr>
        <w:t xml:space="preserve">5</w:t>
      </w:r>
      <w:r>
        <w:rPr>
          <w:rFonts w:ascii="Arial" w:hAnsi="Arial" w:eastAsia="Arial"/>
          <w:color w:val="000000"/>
          <w:spacing w:val="-2"/>
          <w:w w:val="100"/>
          <w:sz w:val="28"/>
          <w:vertAlign w:val="baseline"/>
          <w:lang w:val="en-US"/>
        </w:rPr>
        <w:t xml:space="preserve">,</w:t>
      </w:r>
    </w:p>
    <w:p>
      <w:pPr>
        <w:pageBreakBefore w:val="false"/>
        <w:spacing w:before="1" w:after="0" w:line="324"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or any other name, number, code or information that may be used</w:t>
      </w:r>
    </w:p>
    <w:p>
      <w:pPr>
        <w:pageBreakBefore w:val="false"/>
        <w:spacing w:before="3" w:after="411" w:line="324" w:lineRule="exact"/>
        <w:ind w:right="0" w:left="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alone or in conjunction with other such information to assume the</w:t>
      </w:r>
    </w:p>
    <w:p>
      <w:pPr>
        <w:pageBreakBefore w:val="false"/>
        <w:spacing w:before="256" w:after="0" w:line="276" w:lineRule="exact"/>
        <w:ind w:right="72" w:left="0" w:firstLine="0"/>
        <w:jc w:val="left"/>
        <w:textAlignment w:val="baseline"/>
        <w:rPr>
          <w:rFonts w:ascii="Arial" w:hAnsi="Arial" w:eastAsia="Arial"/>
          <w:color w:val="000000"/>
          <w:spacing w:val="0"/>
          <w:w w:val="100"/>
          <w:sz w:val="14"/>
          <w:vertAlign w:val="superscript"/>
          <w:lang w:val="en-US"/>
        </w:rPr>
      </w:pPr>
      <w:r>
        <w:pict>
          <v:line strokeweight="0.95pt" strokecolor="#000000" from="107.5pt,561.85pt" to="252.05pt,561.8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“Electronic signature” is a separately defined term and if in issue, the Court should charge as follows: ELECTRONIC SIGNATURE means an electronic sound, symbol, or process attached to or logically associated with an electronic record and executed or adopted by a person with intent to sign the record . See Penal Law §190.77(2)(a); State Technology Law §102(3).</w:t>
      </w:r>
    </w:p>
    <w:p>
      <w:pPr>
        <w:pageBreakBefore w:val="false"/>
        <w:spacing w:before="240" w:after="0" w:line="275" w:lineRule="exact"/>
        <w:ind w:right="72"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“Personal identification number” is a separately defined term and if in issue, the Court should charge as follows: PERSONAL IDENTIFICATION NUMBER means anynumber or code which may be used alone or in conjunction with any other information to assume the identity of another person or access financial resources or credit of another person. Penal Law §190.77(2)(b).</w:t>
      </w:r>
    </w:p>
    <w:p>
      <w:pPr>
        <w:sectPr>
          <w:type w:val="nextPage"/>
          <w:pgSz w:w="12240" w:h="15840" w:orient="portrait"/>
          <w:pgMar w:bottom="404" w:top="1400" w:right="2150" w:left="2150" w:header="720" w:footer="720"/>
          <w:titlePg w:val="false"/>
          <w:textDirection w:val="lrTb"/>
        </w:sectPr>
      </w:pPr>
    </w:p>
    <w:p>
      <w:pPr>
        <w:pageBreakBefore w:val="false"/>
        <w:spacing w:before="43" w:after="0" w:line="319"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identity of another person.</w:t>
      </w:r>
      <w:r>
        <w:rPr>
          <w:rFonts w:ascii="Arial" w:hAnsi="Arial" w:eastAsia="Arial"/>
          <w:color w:val="000000"/>
          <w:spacing w:val="-2"/>
          <w:w w:val="100"/>
          <w:sz w:val="28"/>
          <w:vertAlign w:val="superscript"/>
          <w:lang w:val="en-US"/>
        </w:rPr>
        <w:t xml:space="preserve">6</w:t>
      </w:r>
      <w:r>
        <w:rPr>
          <w:rFonts w:ascii="Arial" w:hAnsi="Arial" w:eastAsia="Arial"/>
          <w:color w:val="000000"/>
          <w:spacing w:val="-2"/>
          <w:w w:val="100"/>
          <w:sz w:val="28"/>
          <w:vertAlign w:val="baseline"/>
          <w:lang w:val="en-US"/>
        </w:rPr>
        <w:t xml:space="preserve">]</w:t>
      </w:r>
    </w:p>
    <w:p>
      <w:pPr>
        <w:pageBreakBefore w:val="false"/>
        <w:spacing w:before="33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288"/>
          <w:tab w:val="left" w:pos="1008"/>
        </w:tabs>
        <w:spacing w:before="327"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assumed the identity of (</w:t>
      </w:r>
      <w:r>
        <w:rPr>
          <w:rFonts w:ascii="Arial" w:hAnsi="Arial" w:eastAsia="Arial"/>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8" w:after="0" w:line="319"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4"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7"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3" w:after="0" w:line="319" w:lineRule="exact"/>
        <w:ind w:right="0" w:left="0" w:firstLine="0"/>
        <w:jc w:val="right"/>
        <w:textAlignment w:val="baseline"/>
        <w:rPr>
          <w:rFonts w:ascii="Arial" w:hAnsi="Arial" w:eastAsia="Arial"/>
          <w:color w:val="000000"/>
          <w:spacing w:val="12"/>
          <w:w w:val="100"/>
          <w:sz w:val="28"/>
          <w:vertAlign w:val="baseline"/>
          <w:lang w:val="en-US"/>
        </w:rPr>
      </w:pPr>
      <w:r>
        <w:rPr>
          <w:rFonts w:ascii="Arial" w:hAnsi="Arial" w:eastAsia="Arial"/>
          <w:color w:val="000000"/>
          <w:spacing w:val="12"/>
          <w:w w:val="100"/>
          <w:sz w:val="28"/>
          <w:vertAlign w:val="baseline"/>
          <w:lang w:val="en-US"/>
        </w:rPr>
        <w:t xml:space="preserve">by using personal identifying information of that</w:t>
      </w:r>
    </w:p>
    <w:p>
      <w:pPr>
        <w:pageBreakBefore w:val="false"/>
        <w:spacing w:before="7" w:after="0" w:line="319" w:lineRule="exact"/>
        <w:ind w:right="0" w:left="144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person;</w:t>
      </w:r>
    </w:p>
    <w:p>
      <w:pPr>
        <w:pageBreakBefore w:val="false"/>
        <w:numPr>
          <w:ilvl w:val="0"/>
          <w:numId w:val="1"/>
        </w:numPr>
        <w:tabs>
          <w:tab w:val="clear" w:pos="288"/>
          <w:tab w:val="left" w:pos="1008"/>
        </w:tabs>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intent to defraud; and</w:t>
      </w:r>
    </w:p>
    <w:p>
      <w:pPr>
        <w:pageBreakBefore w:val="false"/>
        <w:numPr>
          <w:ilvl w:val="0"/>
          <w:numId w:val="1"/>
        </w:numPr>
        <w:tabs>
          <w:tab w:val="clear" w:pos="288"/>
          <w:tab w:val="left" w:pos="1008"/>
        </w:tabs>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caused financial loss to such person or to another person; and</w:t>
      </w:r>
    </w:p>
    <w:p>
      <w:pPr>
        <w:pageBreakBefore w:val="false"/>
        <w:numPr>
          <w:ilvl w:val="0"/>
          <w:numId w:val="1"/>
        </w:numPr>
        <w:tabs>
          <w:tab w:val="clear" w:pos="288"/>
          <w:tab w:val="left" w:pos="1008"/>
        </w:tabs>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such financial loss was in an aggregate amount that exceeds two thousand dollars.</w:t>
      </w:r>
    </w:p>
    <w:p>
      <w:pPr>
        <w:pageBreakBefore w:val="false"/>
        <w:spacing w:before="328"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pPr>
        <w:pageBreakBefore w:val="false"/>
        <w:spacing w:before="32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8" w:after="786"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7"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75pt,725.5pt" to="252.05pt,725.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§190.77(1).</w:t>
      </w:r>
    </w:p>
    <w:sectPr>
      <w:type w:val="nextPage"/>
      <w:pgSz w:w="12240" w:h="15840" w:orient="portrait"/>
      <w:pgMar w:bottom="364" w:top="10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