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3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PROMOTING PRISON CONTRABAND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(Person Introduces Dangerous Contraband)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205.25 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(Revised January 16, 2009)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7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Promoting Prison Contraband in the First Degree.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Promoting Prison Contraband in the First Degree when he or she knowingly and unlawfully introduces any dangerous contraband into a detention facility.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DETENTION FACILITY means any place used for confinement, pursuant to an order of a court, of a person</w:t>
      </w:r>
    </w:p>
    <w:p>
      <w:pPr>
        <w:pageBreakBefore w:val="false"/>
        <w:spacing w:before="333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333" w:after="0" w:line="32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or convicted of offense,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2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being or adjudicated a youthful offender, person in need of supervision or juvenile delinquent,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1" w:after="0" w:line="31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held for extradition or as a material witness,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2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otherwise confined pursuant to an order of a court.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5" w:after="814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CONTRABAND means any article or thing which a person confined in a detention facility is prohibited from obtaining or</w:t>
      </w:r>
    </w:p>
    <w:p>
      <w:pPr>
        <w:pageBreakBefore w:val="false"/>
        <w:spacing w:before="257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36.5pt" to="252.05pt,63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 The purpose of this revision was to expand the definition of “dangerous contraband” to include language from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People v. Finley,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10 N.Y.3d 647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, 657 (2008).</w:t>
      </w:r>
    </w:p>
    <w:p>
      <w:pPr>
        <w:pageBreakBefore w:val="false"/>
        <w:spacing w:before="235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 Penal Law §205.00(1).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39" w:after="0" w:line="32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possessing by statute, rule, regulation or order.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DANGEROUS CONTRABAND means contraband which is capable of such use as may endanger the safety or security of a detention facility or any person therein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Add as appropriate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that its particular characteristics are such that there is a substantial probability that the item will be used in a manner that is likely to cause death or other serious injury, to facilitate an escape, or to bring about other major threats to a detention facility’s institutional safety or security].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introduces dangerous contraband into a detention facility when that person is aware that he or she is doing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 person UNLAWFULLY introduces dangerous contraband into a detention facility when that person has no legal right to do so.</w:t>
      </w:r>
    </w:p>
    <w:p>
      <w:pPr>
        <w:pageBreakBefore w:val="false"/>
        <w:spacing w:before="33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your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tabs>
          <w:tab w:val="right" w:leader="none" w:pos="7920"/>
        </w:tabs>
        <w:spacing w:before="326" w:after="0" w:line="325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</w:t>
      </w:r>
    </w:p>
    <w:p>
      <w:pPr>
        <w:pageBreakBefore w:val="false"/>
        <w:spacing w:before="0" w:after="556" w:line="322" w:lineRule="exact"/>
        <w:ind w:right="0" w:left="216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name) 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introduced dangerous contraband into a detention facility; and</w:t>
      </w:r>
    </w:p>
    <w:p>
      <w:pPr>
        <w:pageBreakBefore w:val="false"/>
        <w:spacing w:before="259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superscript"/>
          <w:lang w:val="en-US"/>
        </w:rPr>
      </w:pPr>
      <w:r>
        <w:pict>
          <v:line strokeweight="1.2pt" strokecolor="#000000" from="108pt,587.5pt" to="252.05pt,587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4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4"/>
          <w:w w:val="100"/>
          <w:sz w:val="26"/>
          <w:vertAlign w:val="baseline"/>
          <w:lang w:val="en-US"/>
        </w:rPr>
        <w:t xml:space="preserve"> Penal Law §205.00(3).</w:t>
      </w:r>
    </w:p>
    <w:p>
      <w:pPr>
        <w:pageBreakBefore w:val="false"/>
        <w:spacing w:before="240" w:after="0" w:line="27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16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5"/>
          <w:w w:val="100"/>
          <w:sz w:val="24"/>
          <w:vertAlign w:val="baseline"/>
          <w:lang w:val="en-US"/>
        </w:rPr>
        <w:t xml:space="preserve"> Penal Law §205.00(3).</w:t>
      </w:r>
    </w:p>
    <w:p>
      <w:pPr>
        <w:pageBreakBefore w:val="false"/>
        <w:spacing w:before="248" w:after="0" w:line="29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 People v. Finley</w:t>
      </w: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, 10 N.Y.3d 647</w:t>
      </w:r>
      <w:r>
        <w:rPr>
          <w:rFonts w:ascii="Arial" w:hAnsi="Arial" w:eastAsia="Arial"/>
          <w:strike w:val="false"/>
          <w:color w:val="000000"/>
          <w:spacing w:val="1"/>
          <w:w w:val="100"/>
          <w:sz w:val="26"/>
          <w:vertAlign w:val="baseline"/>
          <w:lang w:val="en-US"/>
        </w:rPr>
        <w:t xml:space="preserve">, 657 (2008).</w:t>
      </w:r>
    </w:p>
    <w:p>
      <w:pPr>
        <w:pageBreakBefore w:val="false"/>
        <w:spacing w:before="233" w:after="0" w:line="280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16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 See</w:t>
      </w: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n-US"/>
        </w:rPr>
        <w:t xml:space="preserve">, Penal Law §15.05(2).</w:t>
      </w:r>
    </w:p>
    <w:p>
      <w:pPr>
        <w:pageBreakBefore w:val="false"/>
        <w:spacing w:before="250" w:after="0" w:line="29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40" w:left="216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7920"/>
        </w:tabs>
        <w:spacing w:before="8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</w:t>
      </w:r>
    </w:p>
    <w:p>
      <w:pPr>
        <w:pageBreakBefore w:val="false"/>
        <w:spacing w:before="8" w:after="0" w:line="319" w:lineRule="exact"/>
        <w:ind w:right="0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unlawfully.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9426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9426" w:line="324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Letter"/>
      <w:lvlText w:val="(%1)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