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TAMPERING WITH PHYSICAL EVIDENCE</w:t>
        <w:br/>
      </w:r>
      <w:r>
        <w:rPr>
          <w:rFonts w:ascii="Arial" w:hAnsi="Arial" w:eastAsia="Arial"/>
          <w:b w:val="true"/>
          <w:strike w:val="false"/>
          <w:color w:val="000000"/>
          <w:spacing w:val="0"/>
          <w:w w:val="100"/>
          <w:sz w:val="28"/>
          <w:vertAlign w:val="baseline"/>
          <w:lang w:val="en-US"/>
        </w:rPr>
        <w:t xml:space="preserve">(Destroying Evidence)</w:t>
        <w:br/>
      </w:r>
      <w:r>
        <w:rPr>
          <w:rFonts w:ascii="Arial" w:hAnsi="Arial" w:eastAsia="Arial"/>
          <w:b w:val="true"/>
          <w:strike w:val="false"/>
          <w:color w:val="000000"/>
          <w:spacing w:val="0"/>
          <w:w w:val="100"/>
          <w:sz w:val="28"/>
          <w:vertAlign w:val="baseline"/>
          <w:lang w:val="en-US"/>
        </w:rPr>
        <w:t xml:space="preserve">Penal Law § 215.40(2)</w:t>
        <w:br/>
      </w:r>
      <w:r>
        <w:rPr>
          <w:rFonts w:ascii="Arial" w:hAnsi="Arial" w:eastAsia="Arial"/>
          <w:b w:val="true"/>
          <w:strike w:val="false"/>
          <w:color w:val="000000"/>
          <w:spacing w:val="0"/>
          <w:w w:val="100"/>
          <w:sz w:val="28"/>
          <w:vertAlign w:val="baseline"/>
          <w:lang w:val="en-US"/>
        </w:rPr>
        <w:t xml:space="preserve">(Committed on or after Sept. 1, 1967)</w:t>
      </w:r>
    </w:p>
    <w:p>
      <w:pPr>
        <w:pageBreakBefore w:val="false"/>
        <w:spacing w:before="321" w:after="0" w:line="324"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(specify) count is Tampering with Physical Evidence.</w:t>
      </w:r>
    </w:p>
    <w:p>
      <w:pPr>
        <w:pageBreakBefore w:val="false"/>
        <w:spacing w:before="324"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Under our law, a person is guilty of Tampering with Physical Evidence when, believing that certain physical evidence is about to be produced or used in an official proceeding or a prospective official proceeding, and intending to prevent such production or use, he or she suppresses it by any act of concealment, alteration or destruction, or by employing force, intimidation or deception against any person.</w:t>
      </w:r>
    </w:p>
    <w:p>
      <w:pPr>
        <w:pageBreakBefore w:val="false"/>
        <w:spacing w:before="322"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2" w:after="0" w:line="324"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OFFICIAL PROCEEDING means any action or proceeding conducted by or before a legally constituted judicial, legislative, administrative or other governmental agency or official, in which evidence may properly be received.</w:t>
      </w:r>
      <w:r>
        <w:rPr>
          <w:rFonts w:ascii="Arial" w:hAnsi="Arial" w:eastAsia="Arial"/>
          <w:strike w:val="false"/>
          <w:color w:val="000000"/>
          <w:spacing w:val="-2"/>
          <w:w w:val="100"/>
          <w:sz w:val="28"/>
          <w:vertAlign w:val="superscript"/>
          <w:lang w:val="en-US"/>
        </w:rPr>
        <w:t xml:space="preserve">1</w:t>
      </w:r>
      <w:r>
        <w:rPr>
          <w:rFonts w:ascii="Arial" w:hAnsi="Arial" w:eastAsia="Arial"/>
          <w:strike w:val="false"/>
          <w:color w:val="000000"/>
          <w:spacing w:val="-2"/>
          <w:w w:val="100"/>
          <w:sz w:val="17"/>
          <w:vertAlign w:val="baseline"/>
          <w:lang w:val="en-US"/>
        </w:rPr>
        <w:t xml:space="preserve">
</w:t>
      </w:r>
    </w:p>
    <w:p>
      <w:pPr>
        <w:pageBreakBefore w:val="false"/>
        <w:spacing w:before="32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PHYSICAL EVIDENCE means any article, object, document, record or other thing of physical substance which is or is about to be produced or used as evidence in an official proceeding.</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14" w:after="682" w:line="324"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Intent means conscious objective or purpose. Thus, a person is INTENDING to prevent the production or use of physical evidence in an official proceeding or a prospective official proceeding when his or her conscious objective or purpose is to do so.</w:t>
      </w:r>
      <w:r>
        <w:rPr>
          <w:rFonts w:ascii="Arial" w:hAnsi="Arial" w:eastAsia="Arial"/>
          <w:strike w:val="false"/>
          <w:color w:val="000000"/>
          <w:spacing w:val="-5"/>
          <w:w w:val="100"/>
          <w:sz w:val="28"/>
          <w:vertAlign w:val="superscript"/>
          <w:lang w:val="en-US"/>
        </w:rPr>
        <w:t xml:space="preserve">3</w:t>
      </w:r>
      <w:r>
        <w:rPr>
          <w:rFonts w:ascii="Arial" w:hAnsi="Arial" w:eastAsia="Arial"/>
          <w:strike w:val="false"/>
          <w:color w:val="000000"/>
          <w:spacing w:val="-5"/>
          <w:w w:val="100"/>
          <w:sz w:val="17"/>
          <w:vertAlign w:val="baseline"/>
          <w:lang w:val="en-US"/>
        </w:rPr>
        <w:t xml:space="preserve">
</w:t>
      </w:r>
    </w:p>
    <w:p>
      <w:pPr>
        <w:pageBreakBefore w:val="false"/>
        <w:spacing w:before="255" w:after="0" w:line="276" w:lineRule="exact"/>
        <w:ind w:right="0" w:left="0" w:firstLine="0"/>
        <w:jc w:val="left"/>
        <w:textAlignment w:val="baseline"/>
        <w:rPr>
          <w:rFonts w:ascii="Arial" w:hAnsi="Arial" w:eastAsia="Arial"/>
          <w:strike w:val="false"/>
          <w:color w:val="000000"/>
          <w:spacing w:val="0"/>
          <w:w w:val="100"/>
          <w:sz w:val="14"/>
          <w:vertAlign w:val="superscript"/>
          <w:lang w:val="en-US"/>
        </w:rPr>
      </w:pPr>
      <w:r>
        <w:pict>
          <v:line strokeweight="0.95pt" strokecolor="#000000" from="108pt,642.5pt" to="252.05pt,642.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Penal Law § 215.35(2).</w:t>
      </w:r>
    </w:p>
    <w:p>
      <w:pPr>
        <w:pageBreakBefore w:val="false"/>
        <w:spacing w:before="0" w:after="0" w:line="516"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Penal Law § 215.35(1).</w:t>
        <w:br/>
      </w:r>
      <w:r>
        <w:rPr>
          <w:rFonts w:ascii="Arial" w:hAnsi="Arial" w:eastAsia="Arial"/>
          <w:strike w:val="false"/>
          <w:color w:val="000000"/>
          <w:spacing w:val="0"/>
          <w:w w:val="100"/>
          <w:sz w:val="14"/>
          <w:vertAlign w:val="superscript"/>
          <w:lang w:val="en-US"/>
        </w:rPr>
        <w:t xml:space="preserve">3</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§15.05(1).</w:t>
      </w:r>
    </w:p>
    <w:p>
      <w:pPr>
        <w:sectPr>
          <w:type w:val="nextPage"/>
          <w:pgSz w:w="12240" w:h="15840" w:orient="portrait"/>
          <w:pgMar w:bottom="984" w:top="1440" w:right="2140" w:left="2160" w:header="720" w:footer="720"/>
          <w:titlePg w:val="false"/>
          <w:textDirection w:val="lrTb"/>
        </w:sectPr>
      </w:pPr>
    </w:p>
    <w:p>
      <w:pPr>
        <w:pageBreakBefore w:val="false"/>
        <w:spacing w:before="1" w:after="0" w:line="326"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720"/>
          <w:tab w:val="left" w:pos="1440"/>
        </w:tabs>
        <w:spacing w:before="329" w:after="0" w:line="322" w:lineRule="exact"/>
        <w:ind w:right="0" w:left="1440" w:hanging="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That on or about </w:t>
      </w:r>
      <w:r>
        <w:rPr>
          <w:rFonts w:ascii="Arial" w:hAnsi="Arial" w:eastAsia="Arial"/>
          <w:strike w:val="false"/>
          <w:color w:val="000000"/>
          <w:spacing w:val="-2"/>
          <w:w w:val="100"/>
          <w:sz w:val="28"/>
          <w:u w:val="single"/>
          <w:vertAlign w:val="baseline"/>
          <w:lang w:val="en-US"/>
        </w:rPr>
        <w:t xml:space="preserve">(</w:t>
      </w:r>
      <w:r>
        <w:rPr>
          <w:rFonts w:ascii="Arial" w:hAnsi="Arial" w:eastAsia="Arial"/>
          <w:i w:val="true"/>
          <w:strike w:val="false"/>
          <w:color w:val="000000"/>
          <w:spacing w:val="-2"/>
          <w:w w:val="100"/>
          <w:sz w:val="28"/>
          <w:u w:val="single"/>
          <w:vertAlign w:val="baseline"/>
          <w:lang w:val="en-US"/>
        </w:rPr>
        <w:t xml:space="preserve">date</w:t>
      </w:r>
      <w:r>
        <w:rPr>
          <w:rFonts w:ascii="Arial" w:hAnsi="Arial" w:eastAsia="Arial"/>
          <w:strike w:val="false"/>
          <w:color w:val="000000"/>
          <w:spacing w:val="-2"/>
          <w:w w:val="100"/>
          <w:sz w:val="28"/>
          <w:u w:val="single"/>
          <w:vertAlign w:val="baseline"/>
          <w:lang w:val="en-US"/>
        </w:rPr>
        <w:t xml:space="preserve">),</w:t>
      </w:r>
      <w:r>
        <w:rPr>
          <w:rFonts w:ascii="Arial" w:hAnsi="Arial" w:eastAsia="Arial"/>
          <w:strike w:val="false"/>
          <w:color w:val="000000"/>
          <w:spacing w:val="-2"/>
          <w:w w:val="100"/>
          <w:sz w:val="28"/>
          <w:vertAlign w:val="baseline"/>
          <w:lang w:val="en-US"/>
        </w:rPr>
        <w:t xml:space="preserve"> in the county of </w:t>
      </w:r>
      <w:r>
        <w:rPr>
          <w:rFonts w:ascii="Arial" w:hAnsi="Arial" w:eastAsia="Arial"/>
          <w:strike w:val="false"/>
          <w:color w:val="000000"/>
          <w:spacing w:val="-2"/>
          <w:w w:val="100"/>
          <w:sz w:val="28"/>
          <w:u w:val="single"/>
          <w:vertAlign w:val="baseline"/>
          <w:lang w:val="en-US"/>
        </w:rPr>
        <w:t xml:space="preserve">(</w:t>
      </w:r>
      <w:r>
        <w:rPr>
          <w:rFonts w:ascii="Arial" w:hAnsi="Arial" w:eastAsia="Arial"/>
          <w:i w:val="true"/>
          <w:strike w:val="false"/>
          <w:color w:val="000000"/>
          <w:spacing w:val="-2"/>
          <w:w w:val="100"/>
          <w:sz w:val="28"/>
          <w:u w:val="single"/>
          <w:vertAlign w:val="baseline"/>
          <w:lang w:val="en-US"/>
        </w:rPr>
        <w:t xml:space="preserve">specify</w:t>
      </w:r>
      <w:r>
        <w:rPr>
          <w:rFonts w:ascii="Arial" w:hAnsi="Arial" w:eastAsia="Arial"/>
          <w:strike w:val="false"/>
          <w:color w:val="000000"/>
          <w:spacing w:val="-2"/>
          <w:w w:val="100"/>
          <w:sz w:val="28"/>
          <w:u w:val="single"/>
          <w:vertAlign w:val="baseline"/>
          <w:lang w:val="en-US"/>
        </w:rPr>
        <w:t xml:space="preserve">),</w:t>
      </w:r>
      <w:r>
        <w:rPr>
          <w:rFonts w:ascii="Arial" w:hAnsi="Arial" w:eastAsia="Arial"/>
          <w:strike w:val="false"/>
          <w:color w:val="000000"/>
          <w:spacing w:val="-2"/>
          <w:w w:val="100"/>
          <w:sz w:val="28"/>
          <w:vertAlign w:val="baseline"/>
          <w:lang w:val="en-US"/>
        </w:rPr>
        <w:t xml:space="preserve"> the defendant, </w:t>
      </w:r>
      <w:r>
        <w:rPr>
          <w:rFonts w:ascii="Arial" w:hAnsi="Arial" w:eastAsia="Arial"/>
          <w:strike w:val="false"/>
          <w:color w:val="000000"/>
          <w:spacing w:val="-2"/>
          <w:w w:val="100"/>
          <w:sz w:val="28"/>
          <w:u w:val="single"/>
          <w:vertAlign w:val="baseline"/>
          <w:lang w:val="en-US"/>
        </w:rPr>
        <w:t xml:space="preserve">(</w:t>
      </w:r>
      <w:r>
        <w:rPr>
          <w:rFonts w:ascii="Arial" w:hAnsi="Arial" w:eastAsia="Arial"/>
          <w:i w:val="true"/>
          <w:strike w:val="false"/>
          <w:color w:val="000000"/>
          <w:spacing w:val="-2"/>
          <w:w w:val="100"/>
          <w:sz w:val="28"/>
          <w:u w:val="single"/>
          <w:vertAlign w:val="baseline"/>
          <w:lang w:val="en-US"/>
        </w:rPr>
        <w:t xml:space="preserve">defendant’s name</w:t>
      </w:r>
      <w:r>
        <w:rPr>
          <w:rFonts w:ascii="Arial" w:hAnsi="Arial" w:eastAsia="Arial"/>
          <w:strike w:val="false"/>
          <w:color w:val="000000"/>
          <w:spacing w:val="-2"/>
          <w:w w:val="100"/>
          <w:sz w:val="28"/>
          <w:u w:val="single"/>
          <w:vertAlign w:val="baseline"/>
          <w:lang w:val="en-US"/>
        </w:rPr>
        <w:t xml:space="preserve">),</w:t>
      </w:r>
      <w:r>
        <w:rPr>
          <w:rFonts w:ascii="Arial" w:hAnsi="Arial" w:eastAsia="Arial"/>
          <w:strike w:val="false"/>
          <w:color w:val="000000"/>
          <w:spacing w:val="-2"/>
          <w:w w:val="100"/>
          <w:sz w:val="28"/>
          <w:vertAlign w:val="baseline"/>
          <w:lang w:val="en-US"/>
        </w:rPr>
        <w:t xml:space="preserve"> suppressed physical evidence by any act of concealment, alteration or destruction, or by employing force, intimidation or deception against any person;</w:t>
      </w:r>
    </w:p>
    <w:p>
      <w:pPr>
        <w:pageBreakBefore w:val="false"/>
        <w:numPr>
          <w:ilvl w:val="0"/>
          <w:numId w:val="1"/>
        </w:numPr>
        <w:tabs>
          <w:tab w:val="clear" w:pos="720"/>
          <w:tab w:val="left" w:pos="1440"/>
        </w:tabs>
        <w:spacing w:before="323" w:after="0" w:line="325"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believing that such physical evidence was about to be produced or used in an official proceeding [or a prospective official proceeding]; and</w:t>
      </w:r>
    </w:p>
    <w:p>
      <w:pPr>
        <w:pageBreakBefore w:val="false"/>
        <w:numPr>
          <w:ilvl w:val="0"/>
          <w:numId w:val="1"/>
        </w:numPr>
        <w:tabs>
          <w:tab w:val="clear" w:pos="720"/>
          <w:tab w:val="left" w:pos="1440"/>
        </w:tabs>
        <w:spacing w:before="322" w:after="0" w:line="326"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intending to prevent such production or use.</w:t>
      </w:r>
    </w:p>
    <w:p>
      <w:pPr>
        <w:pageBreakBefore w:val="false"/>
        <w:spacing w:before="31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33"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5884" w:top="1440" w:right="214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2"/>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