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Physical Contact </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superscript"/>
          <w:lang w:val="en-US"/>
        </w:rPr>
        <w:t xml:space="preserve">)</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 (b) (v)</w:t>
        <w:br/>
      </w:r>
      <w:r>
        <w:rPr>
          <w:rFonts w:ascii="Arial" w:hAnsi="Arial" w:eastAsia="Arial"/>
          <w:b w:val="true"/>
          <w:strike w:val="false"/>
          <w:color w:val="000000"/>
          <w:spacing w:val="0"/>
          <w:w w:val="100"/>
          <w:sz w:val="28"/>
          <w:vertAlign w:val="baseline"/>
          <w:lang w:val="en-US"/>
        </w:rPr>
        <w:t xml:space="preserve">(Committed on or after Sept. 1, 1996)</w:t>
        <w:br/>
      </w:r>
      <w:r>
        <w:rPr>
          <w:rFonts w:ascii="Arial" w:hAnsi="Arial" w:eastAsia="Arial"/>
          <w:b w:val="true"/>
          <w:strike w:val="false"/>
          <w:color w:val="000000"/>
          <w:spacing w:val="0"/>
          <w:w w:val="100"/>
          <w:sz w:val="28"/>
          <w:vertAlign w:val="baseline"/>
          <w:lang w:val="en-US"/>
        </w:rPr>
        <w:t xml:space="preserve">(Revised June, 2013)</w:t>
      </w:r>
      <w:r>
        <w:rPr>
          <w:rFonts w:ascii="Arial" w:hAnsi="Arial" w:eastAsia="Arial"/>
          <w:b w:val="true"/>
          <w:strike w:val="false"/>
          <w:color w:val="000000"/>
          <w:spacing w:val="0"/>
          <w:w w:val="100"/>
          <w:sz w:val="28"/>
          <w:vertAlign w:val="superscript"/>
          <w:lang w:val="en-US"/>
        </w:rPr>
        <w:t xml:space="preserve">2</w:t>
      </w:r>
      <w:r>
        <w:rPr>
          <w:rFonts w:ascii="Arial" w:hAnsi="Arial" w:eastAsia="Arial"/>
          <w:b w:val="true"/>
          <w:strike w:val="false"/>
          <w:color w:val="000000"/>
          <w:spacing w:val="0"/>
          <w:w w:val="100"/>
          <w:sz w:val="17"/>
          <w:vertAlign w:val="baseline"/>
          <w:lang w:val="en-US"/>
        </w:rPr>
        <w:t xml:space="preserve">
</w:t>
      </w:r>
    </w:p>
    <w:p>
      <w:pPr>
        <w:pageBreakBefore w:val="false"/>
        <w:spacing w:before="323"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First Degree.</w:t>
      </w:r>
    </w:p>
    <w:p>
      <w:pPr>
        <w:pageBreakBefore w:val="false"/>
        <w:spacing w:before="297"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he or she, with intent to harass, annoy, threaten or alarm a person for whose protection such order was issued, strikes, shoves, kicks or otherwise subjects such other person to physical contact or attempts or threatens to do the same.</w:t>
      </w:r>
    </w:p>
    <w:p>
      <w:pPr>
        <w:pageBreakBefore w:val="false"/>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5" w:after="241"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Thus, a defendant acts with intent to harass, annoy, threaten or alarm a person for whose protection such order was issued when that</w:t>
      </w:r>
    </w:p>
    <w:p>
      <w:pPr>
        <w:pageBreakBefore w:val="false"/>
        <w:spacing w:before="255"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3pt,492pt" to="252.05pt,49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240.26 (1).</w:t>
      </w:r>
    </w:p>
    <w:p>
      <w:pPr>
        <w:pageBreakBefore w:val="false"/>
        <w:spacing w:before="246" w:after="0" w:line="276"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Elements three and four were revised to be elements three, four, and five, as set forth in the current instruction. Prior to the revision, elements three and four read as follows: 3. That on or about </w:t>
      </w:r>
      <w:r>
        <w:rPr>
          <w:rFonts w:ascii="Arial" w:hAnsi="Arial" w:eastAsia="Arial"/>
          <w:strike w:val="false"/>
          <w:color w:val="000000"/>
          <w:spacing w:val="-3"/>
          <w:w w:val="100"/>
          <w:sz w:val="24"/>
          <w:u w:val="single"/>
          <w:vertAlign w:val="baseline"/>
          <w:lang w:val="en-US"/>
        </w:rPr>
        <w:t xml:space="preserve">(</w:t>
      </w:r>
      <w:r>
        <w:rPr>
          <w:rFonts w:ascii="Arial" w:hAnsi="Arial" w:eastAsia="Arial"/>
          <w:i w:val="true"/>
          <w:strike w:val="false"/>
          <w:color w:val="000000"/>
          <w:spacing w:val="-3"/>
          <w:w w:val="100"/>
          <w:sz w:val="24"/>
          <w:u w:val="single"/>
          <w:vertAlign w:val="baseline"/>
          <w:lang w:val="en-US"/>
        </w:rPr>
        <w:t xml:space="preserve">date</w:t>
      </w:r>
      <w:r>
        <w:rPr>
          <w:rFonts w:ascii="Arial" w:hAnsi="Arial" w:eastAsia="Arial"/>
          <w:strike w:val="false"/>
          <w:color w:val="000000"/>
          <w:spacing w:val="-3"/>
          <w:w w:val="100"/>
          <w:sz w:val="24"/>
          <w:u w:val="single"/>
          <w:vertAlign w:val="baseline"/>
          <w:lang w:val="en-US"/>
        </w:rPr>
        <w:t xml:space="preserve">)</w:t>
      </w:r>
      <w:r>
        <w:rPr>
          <w:rFonts w:ascii="Arial" w:hAnsi="Arial" w:eastAsia="Arial"/>
          <w:strike w:val="false"/>
          <w:color w:val="000000"/>
          <w:spacing w:val="-3"/>
          <w:w w:val="100"/>
          <w:sz w:val="24"/>
          <w:vertAlign w:val="baseline"/>
          <w:lang w:val="en-US"/>
        </w:rPr>
        <w:t xml:space="preserve"> , in the County of </w:t>
      </w:r>
      <w:r>
        <w:rPr>
          <w:rFonts w:ascii="Arial" w:hAnsi="Arial" w:eastAsia="Arial"/>
          <w:strike w:val="false"/>
          <w:color w:val="000000"/>
          <w:spacing w:val="-3"/>
          <w:w w:val="100"/>
          <w:sz w:val="24"/>
          <w:u w:val="single"/>
          <w:vertAlign w:val="baseline"/>
          <w:lang w:val="en-US"/>
        </w:rPr>
        <w:t xml:space="preserve">(</w:t>
      </w:r>
      <w:r>
        <w:rPr>
          <w:rFonts w:ascii="Arial" w:hAnsi="Arial" w:eastAsia="Arial"/>
          <w:i w:val="true"/>
          <w:strike w:val="false"/>
          <w:color w:val="000000"/>
          <w:spacing w:val="-3"/>
          <w:w w:val="100"/>
          <w:sz w:val="24"/>
          <w:u w:val="single"/>
          <w:vertAlign w:val="baseline"/>
          <w:lang w:val="en-US"/>
        </w:rPr>
        <w:t xml:space="preserve">County</w:t>
      </w:r>
      <w:r>
        <w:rPr>
          <w:rFonts w:ascii="Arial" w:hAnsi="Arial" w:eastAsia="Arial"/>
          <w:strike w:val="false"/>
          <w:color w:val="000000"/>
          <w:spacing w:val="-3"/>
          <w:w w:val="100"/>
          <w:sz w:val="24"/>
          <w:u w:val="single"/>
          <w:vertAlign w:val="baseline"/>
          <w:lang w:val="en-US"/>
        </w:rPr>
        <w:t xml:space="preserve">)</w:t>
      </w:r>
      <w:r>
        <w:rPr>
          <w:rFonts w:ascii="Arial" w:hAnsi="Arial" w:eastAsia="Arial"/>
          <w:strike w:val="false"/>
          <w:color w:val="000000"/>
          <w:spacing w:val="-3"/>
          <w:w w:val="100"/>
          <w:sz w:val="24"/>
          <w:vertAlign w:val="baseline"/>
          <w:lang w:val="en-US"/>
        </w:rPr>
        <w:t xml:space="preserve"> , the defendant, </w:t>
      </w:r>
      <w:r>
        <w:rPr>
          <w:rFonts w:ascii="Arial" w:hAnsi="Arial" w:eastAsia="Arial"/>
          <w:strike w:val="false"/>
          <w:color w:val="000000"/>
          <w:spacing w:val="-3"/>
          <w:w w:val="100"/>
          <w:sz w:val="24"/>
          <w:u w:val="single"/>
          <w:vertAlign w:val="baseline"/>
          <w:lang w:val="en-US"/>
        </w:rPr>
        <w:t xml:space="preserve">(</w:t>
      </w:r>
      <w:r>
        <w:rPr>
          <w:rFonts w:ascii="Arial" w:hAnsi="Arial" w:eastAsia="Arial"/>
          <w:i w:val="true"/>
          <w:strike w:val="false"/>
          <w:color w:val="000000"/>
          <w:spacing w:val="-3"/>
          <w:w w:val="100"/>
          <w:sz w:val="24"/>
          <w:u w:val="single"/>
          <w:vertAlign w:val="baseline"/>
          <w:lang w:val="en-US"/>
        </w:rPr>
        <w:t xml:space="preserve">defendant's name</w:t>
      </w:r>
      <w:r>
        <w:rPr>
          <w:rFonts w:ascii="Arial" w:hAnsi="Arial" w:eastAsia="Arial"/>
          <w:strike w:val="false"/>
          <w:color w:val="000000"/>
          <w:spacing w:val="-3"/>
          <w:w w:val="100"/>
          <w:sz w:val="24"/>
          <w:u w:val="single"/>
          <w:vertAlign w:val="baseline"/>
          <w:lang w:val="en-US"/>
        </w:rPr>
        <w:t xml:space="preserve">),</w:t>
      </w:r>
      <w:r>
        <w:rPr>
          <w:rFonts w:ascii="Arial" w:hAnsi="Arial" w:eastAsia="Arial"/>
          <w:strike w:val="false"/>
          <w:color w:val="000000"/>
          <w:spacing w:val="-3"/>
          <w:w w:val="100"/>
          <w:sz w:val="24"/>
          <w:vertAlign w:val="baseline"/>
          <w:lang w:val="en-US"/>
        </w:rPr>
        <w:t xml:space="preserve"> in violation of that order, harassed, annoyed, threatened or alarmed </w:t>
      </w:r>
      <w:r>
        <w:rPr>
          <w:rFonts w:ascii="Arial" w:hAnsi="Arial" w:eastAsia="Arial"/>
          <w:strike w:val="false"/>
          <w:color w:val="000000"/>
          <w:spacing w:val="-3"/>
          <w:w w:val="100"/>
          <w:sz w:val="24"/>
          <w:u w:val="single"/>
          <w:vertAlign w:val="baseline"/>
          <w:lang w:val="en-US"/>
        </w:rPr>
        <w:t xml:space="preserve">(</w:t>
      </w:r>
      <w:r>
        <w:rPr>
          <w:rFonts w:ascii="Arial" w:hAnsi="Arial" w:eastAsia="Arial"/>
          <w:i w:val="true"/>
          <w:strike w:val="false"/>
          <w:color w:val="000000"/>
          <w:spacing w:val="-3"/>
          <w:w w:val="100"/>
          <w:sz w:val="24"/>
          <w:u w:val="single"/>
          <w:vertAlign w:val="baseline"/>
          <w:lang w:val="en-US"/>
        </w:rPr>
        <w:t xml:space="preserve">specify</w:t>
      </w:r>
      <w:r>
        <w:rPr>
          <w:rFonts w:ascii="Arial" w:hAnsi="Arial" w:eastAsia="Arial"/>
          <w:strike w:val="false"/>
          <w:color w:val="000000"/>
          <w:spacing w:val="-3"/>
          <w:w w:val="100"/>
          <w:sz w:val="24"/>
          <w:u w:val="single"/>
          <w:vertAlign w:val="baseline"/>
          <w:lang w:val="en-US"/>
        </w:rPr>
        <w:t xml:space="preserve">)</w:t>
      </w:r>
      <w:r>
        <w:rPr>
          <w:rFonts w:ascii="Arial" w:hAnsi="Arial" w:eastAsia="Arial"/>
          <w:strike w:val="false"/>
          <w:color w:val="000000"/>
          <w:spacing w:val="-3"/>
          <w:w w:val="100"/>
          <w:sz w:val="24"/>
          <w:vertAlign w:val="baseline"/>
          <w:lang w:val="en-US"/>
        </w:rPr>
        <w:t xml:space="preserve"> , by striking, shoving, kicking, or otherwise subjecting him/her to physical contact or attempting or threatening to do the same; and 4. That the defendant did so intentionally.</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At this point, the statute, by the Laws of 1998, chapter 597, contains the language “or an order of protection issued by a court of competent jurisdiction in this or another state, territorial or tribal jurisdiction.” If applicable, insert in definition and elements.</w:t>
      </w:r>
    </w:p>
    <w:p>
      <w:pPr>
        <w:pageBreakBefore w:val="false"/>
        <w:spacing w:before="243"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w:t>
      </w:r>
    </w:p>
    <w:p>
      <w:pPr>
        <w:sectPr>
          <w:type w:val="nextPage"/>
          <w:pgSz w:w="12240" w:h="15840" w:orient="portrait"/>
          <w:pgMar w:bottom="1004" w:top="1440" w:right="2134" w:left="2146" w:header="720" w:footer="720"/>
          <w:titlePg w:val="false"/>
          <w:textDirection w:val="lrTb"/>
        </w:sectPr>
      </w:pPr>
    </w:p>
    <w:p>
      <w:pPr>
        <w:pageBreakBefore w:val="false"/>
        <w:spacing w:before="8" w:after="0" w:line="31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defendant's conscious objective or purpose is to do so.</w:t>
      </w:r>
    </w:p>
    <w:p>
      <w:pPr>
        <w:pageBreakBefore w:val="false"/>
        <w:spacing w:before="329" w:after="0" w:line="324" w:lineRule="exact"/>
        <w:ind w:right="0" w:left="0" w:firstLine="792"/>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you to find the defendant guilty of this crime, the People are required to prove, from all of the evidence in the case, beyond a reasonable doubt, each of the following five elements:</w:t>
      </w:r>
    </w:p>
    <w:p>
      <w:pPr>
        <w:pageBreakBefore w:val="false"/>
        <w:numPr>
          <w:ilvl w:val="0"/>
          <w:numId w:val="1"/>
        </w:numPr>
        <w:tabs>
          <w:tab w:val="clear" w:pos="648"/>
          <w:tab w:val="left" w:pos="1440"/>
        </w:tabs>
        <w:spacing w:before="329" w:after="0" w:line="322"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648"/>
          <w:tab w:val="left" w:pos="1440"/>
        </w:tabs>
        <w:spacing w:before="342" w:after="0" w:line="322"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648"/>
          <w:tab w:val="left" w:pos="1440"/>
        </w:tabs>
        <w:spacing w:before="314"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struck, shoved, kicked or otherwise subjected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physical contact [or attempted or threatened to do the same];</w:t>
      </w:r>
    </w:p>
    <w:p>
      <w:pPr>
        <w:pageBreakBefore w:val="false"/>
        <w:numPr>
          <w:ilvl w:val="0"/>
          <w:numId w:val="1"/>
        </w:numPr>
        <w:tabs>
          <w:tab w:val="clear" w:pos="648"/>
          <w:tab w:val="left" w:pos="1440"/>
        </w:tabs>
        <w:spacing w:before="308" w:after="0" w:line="327"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harass, annoy, threaten or alarm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287" w:after="0" w:line="321"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 violation of the order of protection.</w:t>
      </w:r>
    </w:p>
    <w:p>
      <w:pPr>
        <w:pageBreakBefore w:val="false"/>
        <w:spacing w:before="333" w:after="0" w:line="321"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2106" w:line="321" w:lineRule="exact"/>
        <w:ind w:right="0" w:left="0" w:firstLine="792"/>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2106" w:line="321" w:lineRule="exact"/>
        <w:sectPr>
          <w:type w:val="nextPage"/>
          <w:pgSz w:w="12240" w:h="15840" w:orient="portrait"/>
          <w:pgMar w:bottom="1024" w:top="1440" w:right="2130" w:left="2150"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44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