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3"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CONSTRUCTIVE POSSESSION</w:t>
      </w:r>
    </w:p>
    <w:p>
      <w:pPr>
        <w:pageBreakBefore w:val="false"/>
        <w:spacing w:before="32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 Thus a person may possess property in either of two ways:</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First, the person may have physical possession of property by holding it in his or her hand, or by carrying it in or on his or her body or person.</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Second, the person may exercise dominion or control over property not in his or her physical possession. A person who exercises dominion or control over property not in his or her physical possession is said to have that property in his or her “constructive possession.”</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has tangible property in his or her constructive possession when that person exercises a level of control over the area in which the property is found, or over the person from whom the property is seized, sufficient to give him or her the ability to use or dispose of the property.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2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1814"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Additionally, the law recognizes the possibility that two or more individuals can jointly have property in their constructive possession. Two or more persons have property in their joint constructive possession when they each exercise dominion or control over the property by a sufficient level of control over the area in which the property is found or over the person from whom the property is seized to give each of them the ability to use or dispose of the property.]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4"/>
          <w:vertAlign w:val="baseline"/>
          <w:lang w:val="en-US"/>
        </w:rPr>
        <w:t xml:space="preserve">
</w:t>
      </w:r>
    </w:p>
    <w:p>
      <w:pPr>
        <w:pageBreakBefore w:val="false"/>
        <w:spacing w:before="383" w:after="0" w:line="272" w:lineRule="exact"/>
        <w:ind w:right="0" w:left="720" w:firstLine="0"/>
        <w:jc w:val="left"/>
        <w:textAlignment w:val="baseline"/>
        <w:rPr>
          <w:rFonts w:ascii="Arial" w:hAnsi="Arial" w:eastAsia="Arial"/>
          <w:color w:val="000000"/>
          <w:spacing w:val="7"/>
          <w:w w:val="100"/>
          <w:sz w:val="14"/>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color w:val="000000"/>
          <w:spacing w:val="7"/>
          <w:w w:val="100"/>
          <w:sz w:val="14"/>
          <w:vertAlign w:val="baseline"/>
          <w:lang w:val="en-US"/>
        </w:rPr>
        <w:t xml:space="preserve">1 </w:t>
      </w:r>
      <w:r>
        <w:rPr>
          <w:rFonts w:ascii="Arial" w:hAnsi="Arial" w:eastAsia="Arial"/>
          <w:i w:val="true"/>
          <w:color w:val="000000"/>
          <w:spacing w:val="7"/>
          <w:w w:val="100"/>
          <w:sz w:val="24"/>
          <w:vertAlign w:val="baseline"/>
          <w:lang w:val="en-US"/>
        </w:rPr>
        <w:t xml:space="preserve">See People v Manini</w:t>
      </w:r>
      <w:r>
        <w:rPr>
          <w:rFonts w:ascii="Arial" w:hAnsi="Arial" w:eastAsia="Arial"/>
          <w:color w:val="000000"/>
          <w:spacing w:val="7"/>
          <w:w w:val="100"/>
          <w:sz w:val="24"/>
          <w:vertAlign w:val="baseline"/>
          <w:lang w:val="en-US"/>
        </w:rPr>
        <w:t xml:space="preserve">, 79 NY2d 561, 573 (1992).</w:t>
      </w:r>
    </w:p>
    <w:p>
      <w:pPr>
        <w:pageBreakBefore w:val="false"/>
        <w:spacing w:before="160" w:after="0" w:line="272" w:lineRule="exact"/>
        <w:ind w:right="0" w:left="720" w:firstLine="0"/>
        <w:jc w:val="left"/>
        <w:textAlignment w:val="baseline"/>
        <w:rPr>
          <w:rFonts w:ascii="Arial" w:hAnsi="Arial" w:eastAsia="Arial"/>
          <w:color w:val="000000"/>
          <w:spacing w:val="2"/>
          <w:w w:val="100"/>
          <w:sz w:val="14"/>
          <w:vertAlign w:val="baseline"/>
          <w:lang w:val="en-US"/>
        </w:rPr>
      </w:pPr>
      <w:r>
        <w:rPr>
          <w:rFonts w:ascii="Arial" w:hAnsi="Arial" w:eastAsia="Arial"/>
          <w:color w:val="000000"/>
          <w:spacing w:val="2"/>
          <w:w w:val="100"/>
          <w:sz w:val="14"/>
          <w:vertAlign w:val="baseline"/>
          <w:lang w:val="en-US"/>
        </w:rPr>
        <w:t xml:space="preserve">2 </w:t>
      </w:r>
      <w:r>
        <w:rPr>
          <w:rFonts w:ascii="Arial" w:hAnsi="Arial" w:eastAsia="Arial"/>
          <w:i w:val="true"/>
          <w:color w:val="000000"/>
          <w:spacing w:val="2"/>
          <w:w w:val="100"/>
          <w:sz w:val="24"/>
          <w:vertAlign w:val="baseline"/>
          <w:lang w:val="en-US"/>
        </w:rPr>
        <w:t xml:space="preserve">See People v. Tirado, </w:t>
      </w:r>
      <w:r>
        <w:rPr>
          <w:rFonts w:ascii="Arial" w:hAnsi="Arial" w:eastAsia="Arial"/>
          <w:color w:val="000000"/>
          <w:spacing w:val="2"/>
          <w:w w:val="100"/>
          <w:sz w:val="24"/>
          <w:vertAlign w:val="baseline"/>
          <w:lang w:val="en-US"/>
        </w:rPr>
        <w:t xml:space="preserve">38 N.Y.2d 955 (1976).</w:t>
      </w:r>
    </w:p>
    <w:sectPr>
      <w:type w:val="nextPage"/>
      <w:pgSz w:w="12240" w:h="15840" w:orient="portrait"/>
      <w:pgMar w:bottom="100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