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PROMOTING PROSTITUTION IN THE SECOND DEGREE</w:t>
        <w:br/>
      </w:r>
      <w:r>
        <w:rPr>
          <w:rFonts w:ascii="Arial" w:hAnsi="Arial" w:eastAsia="Arial"/>
          <w:b w:val="true"/>
          <w:strike w:val="false"/>
          <w:color w:val="000000"/>
          <w:spacing w:val="0"/>
          <w:w w:val="100"/>
          <w:sz w:val="28"/>
          <w:vertAlign w:val="baseline"/>
          <w:lang w:val="en-US"/>
        </w:rPr>
        <w:t xml:space="preserve">(Coercion)</w:t>
        <w:br/>
      </w:r>
      <w:r>
        <w:rPr>
          <w:rFonts w:ascii="Arial" w:hAnsi="Arial" w:eastAsia="Arial"/>
          <w:b w:val="true"/>
          <w:strike w:val="false"/>
          <w:color w:val="000000"/>
          <w:spacing w:val="0"/>
          <w:w w:val="100"/>
          <w:sz w:val="28"/>
          <w:vertAlign w:val="baseline"/>
          <w:lang w:val="en-US"/>
        </w:rPr>
        <w:t xml:space="preserve">PENAL LAW 230.30 (1)</w:t>
        <w:br/>
      </w:r>
      <w:r>
        <w:rPr>
          <w:rFonts w:ascii="Arial" w:hAnsi="Arial" w:eastAsia="Arial"/>
          <w:b w:val="true"/>
          <w:strike w:val="false"/>
          <w:color w:val="000000"/>
          <w:spacing w:val="0"/>
          <w:w w:val="100"/>
          <w:sz w:val="28"/>
          <w:vertAlign w:val="baseline"/>
          <w:lang w:val="en-US"/>
        </w:rPr>
        <w:t xml:space="preserve">(Committed on or after January 19, 2016)</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Promoting Prostitution in the Second Degree.</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Promoting Prostitution in the Second Degree when he or she knowingly advances prostitution by compelling a person by force or intimidation to engage in prostitution or profits from such coercive conduct by another.</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PROSTITUTION means the act or practice of engaging, or agreeing or offering to engage in sexual conduct with another person in return for a fee.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person "ADVANCES PROSTITUTION" when, acting other than as a person in prostitution or as a patron thereof, he or she knowingly causes or aids a person to commit or engage in prostitution, procures or solicits patrons for prostitution, provides persons or premises for prostitution purposes, operates or assists in the operation of a house of prostitution or a prostitution enterprise, or engages in any other conduct designed to institute, aid or facilitate an act or enterprise of prostitution.</w:t>
      </w:r>
      <w:r>
        <w:rPr>
          <w:rFonts w:ascii="Arial" w:hAnsi="Arial" w:eastAsia="Arial"/>
          <w:strike w:val="false"/>
          <w:color w:val="000000"/>
          <w:spacing w:val="-3"/>
          <w:w w:val="100"/>
          <w:sz w:val="28"/>
          <w:vertAlign w:val="superscript"/>
          <w:lang w:val="en-US"/>
        </w:rPr>
        <w:t xml:space="preserve">3</w:t>
      </w:r>
      <w:r>
        <w:rPr>
          <w:rFonts w:ascii="Arial" w:hAnsi="Arial" w:eastAsia="Arial"/>
          <w:strike w:val="false"/>
          <w:color w:val="000000"/>
          <w:spacing w:val="-3"/>
          <w:w w:val="100"/>
          <w:sz w:val="17"/>
          <w:vertAlign w:val="baseline"/>
          <w:lang w:val="en-US"/>
        </w:rPr>
        <w:t xml:space="preserve">
</w:t>
      </w:r>
    </w:p>
    <w:p>
      <w:pPr>
        <w:pageBreakBefore w:val="false"/>
        <w:spacing w:before="322" w:after="364" w:line="324" w:lineRule="exact"/>
        <w:ind w:right="0" w:left="72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person KNOWINGLY advances prostitution when that</w:t>
      </w:r>
    </w:p>
    <w:p>
      <w:pPr>
        <w:pageBreakBefore w:val="false"/>
        <w:spacing w:before="250" w:after="0" w:line="278" w:lineRule="exact"/>
        <w:ind w:right="0" w:left="720" w:firstLine="0"/>
        <w:jc w:val="left"/>
        <w:textAlignment w:val="baseline"/>
        <w:rPr>
          <w:rFonts w:ascii="Arial" w:hAnsi="Arial" w:eastAsia="Arial"/>
          <w:strike w:val="false"/>
          <w:color w:val="000000"/>
          <w:spacing w:val="-1"/>
          <w:w w:val="100"/>
          <w:sz w:val="14"/>
          <w:vertAlign w:val="superscript"/>
          <w:lang w:val="en-US"/>
        </w:rPr>
      </w:pPr>
      <w:r>
        <w:pict>
          <v:line strokeweight="1.2pt" strokecolor="#000000" from="108pt,576.95pt" to="252.05pt,576.95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1</w:t>
      </w:r>
      <w:r>
        <w:rPr>
          <w:rFonts w:ascii="Arial" w:hAnsi="Arial" w:eastAsia="Arial"/>
          <w:strike w:val="false"/>
          <w:color w:val="000000"/>
          <w:spacing w:val="-1"/>
          <w:w w:val="100"/>
          <w:sz w:val="24"/>
          <w:vertAlign w:val="baseline"/>
          <w:lang w:val="en-US"/>
        </w:rPr>
        <w:t xml:space="preserve"> See footnote 3.</w:t>
      </w:r>
    </w:p>
    <w:p>
      <w:pPr>
        <w:pageBreakBefore w:val="false"/>
        <w:spacing w:before="239" w:after="0" w:line="278"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230.00.</w:t>
      </w:r>
    </w:p>
    <w:p>
      <w:pPr>
        <w:pageBreakBefore w:val="false"/>
        <w:spacing w:before="247" w:after="0" w:line="278" w:lineRule="exact"/>
        <w:ind w:right="0" w:left="0" w:firstLine="720"/>
        <w:jc w:val="both"/>
        <w:textAlignment w:val="baseline"/>
        <w:rPr>
          <w:rFonts w:ascii="Arial" w:hAnsi="Arial" w:eastAsia="Arial"/>
          <w:strike w:val="false"/>
          <w:color w:val="000000"/>
          <w:spacing w:val="-2"/>
          <w:w w:val="100"/>
          <w:sz w:val="14"/>
          <w:vertAlign w:val="superscript"/>
          <w:lang w:val="en-US"/>
        </w:rPr>
      </w:pPr>
      <w:r>
        <w:rPr>
          <w:rFonts w:ascii="Arial" w:hAnsi="Arial" w:eastAsia="Arial"/>
          <w:strike w:val="false"/>
          <w:color w:val="000000"/>
          <w:spacing w:val="-2"/>
          <w:w w:val="100"/>
          <w:sz w:val="14"/>
          <w:vertAlign w:val="superscript"/>
          <w:lang w:val="en-US"/>
        </w:rPr>
        <w:t xml:space="preserve">3</w:t>
      </w:r>
      <w:r>
        <w:rPr>
          <w:rFonts w:ascii="Arial" w:hAnsi="Arial" w:eastAsia="Arial"/>
          <w:strike w:val="false"/>
          <w:color w:val="000000"/>
          <w:spacing w:val="-2"/>
          <w:w w:val="100"/>
          <w:sz w:val="24"/>
          <w:vertAlign w:val="baseline"/>
          <w:lang w:val="en-US"/>
        </w:rPr>
        <w:t xml:space="preserve"> Penal Law 230.15 (1). Effective January 19, 2016, [L 2015, ch 368] the definition of “advances prostitution” was amended to substitute the terminology: “when, acting other than as a </w:t>
      </w:r>
      <w:r>
        <w:rPr>
          <w:rFonts w:ascii="Arial" w:hAnsi="Arial" w:eastAsia="Arial"/>
          <w:b w:val="true"/>
          <w:strike w:val="false"/>
          <w:color w:val="000000"/>
          <w:spacing w:val="-2"/>
          <w:w w:val="100"/>
          <w:sz w:val="24"/>
          <w:vertAlign w:val="baseline"/>
          <w:lang w:val="en-US"/>
        </w:rPr>
        <w:t xml:space="preserve">person in prostitution</w:t>
      </w:r>
      <w:r>
        <w:rPr>
          <w:rFonts w:ascii="Arial" w:hAnsi="Arial" w:eastAsia="Arial"/>
          <w:strike w:val="false"/>
          <w:color w:val="000000"/>
          <w:spacing w:val="-2"/>
          <w:w w:val="100"/>
          <w:sz w:val="24"/>
          <w:vertAlign w:val="baseline"/>
          <w:lang w:val="en-US"/>
        </w:rPr>
        <w:t xml:space="preserve">” for the terminology “when acting other than as a </w:t>
      </w:r>
      <w:r>
        <w:rPr>
          <w:rFonts w:ascii="Arial" w:hAnsi="Arial" w:eastAsia="Arial"/>
          <w:b w:val="true"/>
          <w:strike w:val="false"/>
          <w:color w:val="000000"/>
          <w:spacing w:val="-2"/>
          <w:w w:val="100"/>
          <w:sz w:val="24"/>
          <w:vertAlign w:val="baseline"/>
          <w:lang w:val="en-US"/>
        </w:rPr>
        <w:t xml:space="preserve">prostitute</w:t>
      </w:r>
      <w:r>
        <w:rPr>
          <w:rFonts w:ascii="Arial" w:hAnsi="Arial" w:eastAsia="Arial"/>
          <w:strike w:val="false"/>
          <w:color w:val="000000"/>
          <w:spacing w:val="-2"/>
          <w:w w:val="100"/>
          <w:sz w:val="24"/>
          <w:vertAlign w:val="baseline"/>
          <w:lang w:val="en-US"/>
        </w:rPr>
        <w:t xml:space="preserve">.” For the commission of this crime on or after September 1, 1978 and before January 19, 2016, this charge may be used provided the term “prostitute” is substituted for the term “person for prostitution” in the definition of “advances prostitution.”</w:t>
      </w:r>
    </w:p>
    <w:p>
      <w:pPr>
        <w:sectPr>
          <w:type w:val="nextPage"/>
          <w:pgSz w:w="12240" w:h="15840" w:orient="portrait"/>
          <w:pgMar w:bottom="664" w:top="1080" w:right="2140" w:left="2160" w:header="720" w:footer="720"/>
          <w:titlePg w:val="false"/>
          <w:textDirection w:val="lrTb"/>
        </w:sectPr>
      </w:pPr>
    </w:p>
    <w:p>
      <w:pPr>
        <w:pageBreakBefore w:val="false"/>
        <w:spacing w:before="44" w:after="0" w:line="318"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person is aware that he or she is doing so.</w:t>
      </w:r>
      <w:r>
        <w:rPr>
          <w:rFonts w:ascii="Arial" w:hAnsi="Arial" w:eastAsia="Arial"/>
          <w:strike w:val="false"/>
          <w:color w:val="000000"/>
          <w:spacing w:val="-1"/>
          <w:w w:val="100"/>
          <w:sz w:val="28"/>
          <w:vertAlign w:val="superscript"/>
          <w:lang w:val="en-US"/>
        </w:rPr>
        <w:t xml:space="preserve">4</w:t>
      </w:r>
      <w:r>
        <w:rPr>
          <w:rFonts w:ascii="Arial" w:hAnsi="Arial" w:eastAsia="Arial"/>
          <w:strike w:val="false"/>
          <w:color w:val="000000"/>
          <w:spacing w:val="-1"/>
          <w:w w:val="100"/>
          <w:sz w:val="17"/>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two elements:</w:t>
      </w:r>
    </w:p>
    <w:p>
      <w:pPr>
        <w:pageBreakBefore w:val="false"/>
        <w:numPr>
          <w:ilvl w:val="0"/>
          <w:numId w:val="1"/>
        </w:numPr>
        <w:tabs>
          <w:tab w:val="clear" w:pos="720"/>
          <w:tab w:val="left" w:pos="1440"/>
        </w:tabs>
        <w:spacing w:before="332" w:after="0" w:line="322" w:lineRule="exact"/>
        <w:ind w:right="0" w:left="720" w:firstLine="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on or about </w:t>
      </w:r>
      <w:r>
        <w:rPr>
          <w:rFonts w:ascii="Arial" w:hAnsi="Arial" w:eastAsia="Arial"/>
          <w:strike w:val="false"/>
          <w:color w:val="000000"/>
          <w:spacing w:val="-4"/>
          <w:w w:val="100"/>
          <w:sz w:val="28"/>
          <w:u w:val="single"/>
          <w:vertAlign w:val="baseline"/>
          <w:lang w:val="en-US"/>
        </w:rPr>
        <w:t xml:space="preserve"> (</w:t>
      </w:r>
      <w:r>
        <w:rPr>
          <w:rFonts w:ascii="Arial" w:hAnsi="Arial" w:eastAsia="Arial"/>
          <w:i w:val="true"/>
          <w:strike w:val="false"/>
          <w:color w:val="000000"/>
          <w:spacing w:val="-4"/>
          <w:w w:val="100"/>
          <w:sz w:val="28"/>
          <w:u w:val="single"/>
          <w:vertAlign w:val="baseline"/>
          <w:lang w:val="en-US"/>
        </w:rPr>
        <w:t xml:space="preserve">date</w:t>
      </w:r>
      <w:r>
        <w:rPr>
          <w:rFonts w:ascii="Arial" w:hAnsi="Arial" w:eastAsia="Arial"/>
          <w:strike w:val="false"/>
          <w:color w:val="000000"/>
          <w:spacing w:val="-4"/>
          <w:w w:val="100"/>
          <w:sz w:val="28"/>
          <w:u w:val="single"/>
          <w:vertAlign w:val="baseline"/>
          <w:lang w:val="en-US"/>
        </w:rPr>
        <w:t xml:space="preserve">) </w:t>
      </w:r>
      <w:r>
        <w:rPr>
          <w:rFonts w:ascii="Arial" w:hAnsi="Arial" w:eastAsia="Arial"/>
          <w:strike w:val="false"/>
          <w:color w:val="000000"/>
          <w:spacing w:val="-4"/>
          <w:w w:val="100"/>
          <w:sz w:val="28"/>
          <w:vertAlign w:val="baseline"/>
          <w:lang w:val="en-US"/>
        </w:rPr>
        <w:t xml:space="preserve"> , in the county of </w:t>
      </w:r>
      <w:r>
        <w:rPr>
          <w:rFonts w:ascii="Arial" w:hAnsi="Arial" w:eastAsia="Arial"/>
          <w:strike w:val="false"/>
          <w:color w:val="000000"/>
          <w:spacing w:val="-4"/>
          <w:w w:val="100"/>
          <w:sz w:val="28"/>
          <w:u w:val="single"/>
          <w:vertAlign w:val="baseline"/>
          <w:lang w:val="en-US"/>
        </w:rPr>
        <w:t xml:space="preserve"> (</w:t>
      </w:r>
      <w:r>
        <w:rPr>
          <w:rFonts w:ascii="Arial" w:hAnsi="Arial" w:eastAsia="Arial"/>
          <w:i w:val="true"/>
          <w:strike w:val="false"/>
          <w:color w:val="000000"/>
          <w:spacing w:val="-4"/>
          <w:w w:val="100"/>
          <w:sz w:val="28"/>
          <w:u w:val="single"/>
          <w:vertAlign w:val="baseline"/>
          <w:lang w:val="en-US"/>
        </w:rPr>
        <w:t xml:space="preserve">County</w:t>
      </w:r>
      <w:r>
        <w:rPr>
          <w:rFonts w:ascii="Arial" w:hAnsi="Arial" w:eastAsia="Arial"/>
          <w:strike w:val="false"/>
          <w:color w:val="000000"/>
          <w:spacing w:val="-4"/>
          <w:w w:val="100"/>
          <w:sz w:val="28"/>
          <w:u w:val="single"/>
          <w:vertAlign w:val="baseline"/>
          <w:lang w:val="en-US"/>
        </w:rPr>
        <w:t xml:space="preserve">) </w:t>
      </w:r>
      <w:r>
        <w:rPr>
          <w:rFonts w:ascii="Arial" w:hAnsi="Arial" w:eastAsia="Arial"/>
          <w:strike w:val="false"/>
          <w:color w:val="000000"/>
          <w:spacing w:val="-4"/>
          <w:w w:val="100"/>
          <w:sz w:val="28"/>
          <w:vertAlign w:val="baseline"/>
          <w:lang w:val="en-US"/>
        </w:rPr>
        <w:t xml:space="preserve"> ,</w:t>
      </w:r>
    </w:p>
    <w:p>
      <w:pPr>
        <w:pageBreakBefore w:val="false"/>
        <w:tabs>
          <w:tab w:val="left" w:leader="none" w:pos="3816"/>
        </w:tabs>
        <w:spacing w:before="0" w:after="0" w:line="321"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w:t>
      </w:r>
      <w:r>
        <w:rPr>
          <w:rFonts w:ascii="Arial" w:hAnsi="Arial" w:eastAsia="Arial"/>
          <w:strike w:val="false"/>
          <w:color w:val="000000"/>
          <w:spacing w:val="0"/>
          <w:w w:val="100"/>
          <w:sz w:val="28"/>
          <w:u w:val="single"/>
          <w:vertAlign w:val="baseline"/>
          <w:lang w:val="en-US"/>
        </w:rPr>
        <w:tab/>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advanced prostitution by compelling a person by force or intimidation to engage in prostitution, or profited from such coercive conduct by another; and</w:t>
      </w:r>
    </w:p>
    <w:p>
      <w:pPr>
        <w:pageBreakBefore w:val="false"/>
        <w:numPr>
          <w:ilvl w:val="0"/>
          <w:numId w:val="1"/>
        </w:numPr>
        <w:tabs>
          <w:tab w:val="clear" w:pos="720"/>
          <w:tab w:val="left" w:pos="1440"/>
        </w:tabs>
        <w:spacing w:before="337" w:after="0" w:line="316"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9" w:after="5594"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19" w:after="5594" w:line="324" w:lineRule="exact"/>
        <w:sectPr>
          <w:type w:val="nextPage"/>
          <w:pgSz w:w="12240" w:h="15840" w:orient="portrait"/>
          <w:pgMar w:bottom="664" w:top="1040" w:right="2140" w:left="2150" w:header="720" w:footer="720"/>
          <w:titlePg w:val="false"/>
          <w:textDirection w:val="lrTb"/>
        </w:sectPr>
      </w:pPr>
    </w:p>
    <w:p>
      <w:pPr>
        <w:pageBreakBefore w:val="false"/>
        <w:spacing w:before="251" w:after="0" w:line="281" w:lineRule="exact"/>
        <w:ind w:right="0" w:left="0" w:firstLine="720"/>
        <w:jc w:val="both"/>
        <w:textAlignment w:val="baseline"/>
        <w:rPr>
          <w:rFonts w:ascii="Arial" w:hAnsi="Arial" w:eastAsia="Arial"/>
          <w:strike w:val="false"/>
          <w:color w:val="000000"/>
          <w:spacing w:val="-1"/>
          <w:w w:val="100"/>
          <w:sz w:val="14"/>
          <w:vertAlign w:val="superscript"/>
          <w:lang w:val="en-US"/>
        </w:rPr>
      </w:pPr>
      <w:r>
        <w:pict>
          <v:line strokeweight="0.95pt" strokecolor="#000000" from="107.5pt,674.9pt" to="252.05pt,674.9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4</w:t>
      </w:r>
      <w:r>
        <w:rPr>
          <w:rFonts w:ascii="Arial" w:hAnsi="Arial" w:eastAsia="Arial"/>
          <w:i w:val="true"/>
          <w:strike w:val="false"/>
          <w:color w:val="000000"/>
          <w:spacing w:val="-1"/>
          <w:w w:val="100"/>
          <w:sz w:val="24"/>
          <w:vertAlign w:val="baseline"/>
          <w:lang w:val="en-US"/>
        </w:rPr>
        <w:t xml:space="preserve"> See </w:t>
      </w:r>
      <w:r>
        <w:rPr>
          <w:rFonts w:ascii="Arial" w:hAnsi="Arial" w:eastAsia="Arial"/>
          <w:strike w:val="false"/>
          <w:color w:val="000000"/>
          <w:spacing w:val="-1"/>
          <w:w w:val="100"/>
          <w:sz w:val="24"/>
          <w:vertAlign w:val="baseline"/>
          <w:lang w:val="en-US"/>
        </w:rPr>
        <w:t xml:space="preserve">Penal Law § 15.05 (2). An expanded definition of “knowingly,” is set forth in the General charges in the “Culpable Mental States” section.</w:t>
      </w:r>
    </w:p>
    <w:p>
      <w:pPr>
        <w:pageBreakBefore w:val="false"/>
        <w:spacing w:before="237" w:after="0" w:line="227"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sectPr>
      <w:type w:val="continuous"/>
      <w:pgSz w:w="12240" w:h="15840" w:orient="portrait"/>
      <w:pgMar w:bottom="664" w:top="104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4"/>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