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97" w:after="0" w:line="297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6"/>
          <w:vertAlign w:val="baseline"/>
          <w:lang w:val="en-US"/>
        </w:rPr>
      </w:pPr>
      <w:r>
        <w:pict>
          <v:line strokeweight="1.2pt" strokecolor="#000000" from="108pt,642.5pt" to="252.05pt,642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6"/>
          <w:vertAlign w:val="baseline"/>
          <w:lang w:val="en-US"/>
        </w:rPr>
        <w:t xml:space="preserve">DISRUPTION OR DISTURBANCE OF A RELIGIOUS SERVICE</w:t>
      </w:r>
    </w:p>
    <w:p>
      <w:pPr>
        <w:pageBreakBefore w:val="false"/>
        <w:spacing w:before="0" w:after="0" w:line="384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[FUNERAL, BURIAL OR MEMORIAL SERVICE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]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Penal Law § 240.21</w:t>
      </w:r>
    </w:p>
    <w:p>
      <w:pPr>
        <w:pageBreakBefore w:val="false"/>
        <w:spacing w:before="87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6"/>
          <w:vertAlign w:val="baseline"/>
          <w:lang w:val="en-US"/>
        </w:rPr>
        <w:t xml:space="preserve">Committed on or after March 21, 2011</w:t>
      </w:r>
    </w:p>
    <w:p>
      <w:pPr>
        <w:pageBreakBefore w:val="false"/>
        <w:spacing w:before="371" w:after="0" w:line="37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(specify)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count is Disruption or Disturbance of a Religious Service [Funeral, Burial or Memorial Service]</w:t>
      </w:r>
    </w:p>
    <w:p>
      <w:pPr>
        <w:pageBreakBefore w:val="false"/>
        <w:spacing w:before="375" w:after="0" w:line="37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Under our law, a person is guilty of Disruption or Disturbance of a Religious Service [Funeral, Burial or Memorial Service] when he or she makes unreasonable noise or disturbance while at a lawfully assembled religious service [funeral, burial or memorial service], or within three hundred feet thereof, with intent to cause annoyance or alarm or recklessly creating a risk thereof.</w:t>
      </w:r>
    </w:p>
    <w:p>
      <w:pPr>
        <w:pageBreakBefore w:val="false"/>
        <w:spacing w:before="369" w:after="0" w:line="37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77" w:after="0" w:line="36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6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6"/>
          <w:w w:val="100"/>
          <w:sz w:val="26"/>
          <w:vertAlign w:val="baseline"/>
          <w:lang w:val="en-US"/>
        </w:rPr>
        <w:t xml:space="preserve">"UNREASONABLE NOISE" means a noise of a type or volume that a reasonable person, under the circumstances, would not tolerate.</w:t>
      </w:r>
      <w:r>
        <w:rPr>
          <w:rFonts w:ascii="Arial" w:hAnsi="Arial" w:eastAsia="Arial"/>
          <w:strike w:val="false"/>
          <w:color w:val="000000"/>
          <w:spacing w:val="-6"/>
          <w:w w:val="100"/>
          <w:sz w:val="26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6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77" w:after="0" w:line="370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INTENT means conscious objective or purpose. Thus, a person acts with intent to cause annoyance or alarm when that person's conscious objective or purpose is to do so.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72" w:after="0" w:line="37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A person acts RECKLESSLY in creating a risk of annoyance or alarm when that person:</w:t>
      </w:r>
    </w:p>
    <w:p>
      <w:pPr>
        <w:pageBreakBefore w:val="false"/>
        <w:spacing w:before="376" w:after="240" w:line="369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6"/>
          <w:vertAlign w:val="baseline"/>
          <w:lang w:val="en-US"/>
        </w:rPr>
        <w:t xml:space="preserve">engages in conduct which creates or contributes to a substantial and unjustifiable risk that annoyance or alarm to another person will occur,</w:t>
      </w:r>
    </w:p>
    <w:p>
      <w:pPr>
        <w:pageBreakBefore w:val="false"/>
        <w:spacing w:before="171" w:after="0" w:line="391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superscript"/>
          <w:lang w:val="en-US"/>
        </w:rPr>
        <w:t xml:space="preserve">1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See People v. Bakolas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, 59 N.Y.2d 51, 53 (1983) (defining the term as it appears in the Disorderly Conduct statute).</w:t>
      </w:r>
    </w:p>
    <w:p>
      <w:pPr>
        <w:pageBreakBefore w:val="false"/>
        <w:spacing w:before="246" w:after="0" w:line="29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16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16"/>
          <w:vertAlign w:val="superscript"/>
          <w:lang w:val="en-US"/>
        </w:rPr>
        <w:t xml:space="preserve">2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-1"/>
          <w:w w:val="100"/>
          <w:sz w:val="26"/>
          <w:vertAlign w:val="baseline"/>
          <w:lang w:val="en-US"/>
        </w:rPr>
        <w:t xml:space="preserve"> See 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6"/>
          <w:vertAlign w:val="baseline"/>
          <w:lang w:val="en-US"/>
        </w:rPr>
        <w:t xml:space="preserve">Penal Law § 15.05(1).</w:t>
      </w:r>
    </w:p>
    <w:p>
      <w:pPr>
        <w:sectPr>
          <w:footerReference w:type="default" r:id="fId0"/>
          <w:type w:val="nextPage"/>
          <w:pgSz w:w="12240" w:h="15840" w:orient="portrait"/>
          <w:pgMar w:bottom="865" w:top="1000" w:right="2140" w:left="2160" w:header="720" w:footer="1074"/>
          <w:titlePg w:val="false"/>
          <w:textDirection w:val="lrTb"/>
        </w:sectPr>
      </w:pPr>
    </w:p>
    <w:p>
      <w:pPr>
        <w:pageBreakBefore w:val="false"/>
        <w:spacing w:before="0" w:after="0" w:line="338" w:lineRule="exact"/>
        <w:ind w:right="0" w:left="72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pict>
          <v:line strokeweight="1.2pt" strokecolor="#000000" from="107.85pt,661.7pt" to="252.05pt,661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and when he or she is aware of and consciously disregards that risk,</w:t>
      </w:r>
    </w:p>
    <w:p>
      <w:pPr>
        <w:pageBreakBefore w:val="false"/>
        <w:spacing w:before="376" w:after="0" w:line="368" w:lineRule="exact"/>
        <w:ind w:right="0" w:left="72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and when that risk is of such nature and degree that disregard of it constitutes a gross deviation from the standard of conduct that a reasonable person would observe in the situation.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91" w:after="0" w:line="369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NOTE: Where there is evidence of voluntary intoxication on the part of the defendant, add:</w:t>
      </w:r>
    </w:p>
    <w:p>
      <w:pPr>
        <w:pageBreakBefore w:val="false"/>
        <w:spacing w:before="6" w:after="0" w:line="369" w:lineRule="exact"/>
        <w:ind w:right="0" w:left="72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A person also acts recklessly when he or she creates such a risk but is unaware of that risk solely by reason of his or her voluntary intoxication.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]</w:t>
      </w:r>
    </w:p>
    <w:p>
      <w:pPr>
        <w:pageBreakBefore w:val="false"/>
        <w:spacing w:before="372" w:after="0" w:line="37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two elements:</w:t>
      </w:r>
    </w:p>
    <w:p>
      <w:pPr>
        <w:pageBreakBefore w:val="false"/>
        <w:tabs>
          <w:tab w:val="right" w:leader="none" w:pos="7920"/>
        </w:tabs>
        <w:spacing w:before="453" w:after="0" w:line="297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1.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(county),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the</w:t>
      </w:r>
    </w:p>
    <w:p>
      <w:pPr>
        <w:pageBreakBefore w:val="false"/>
        <w:spacing w:before="0" w:after="0" w:line="371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defendant,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defendant's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made unreasonable noise or disturbance</w:t>
      </w:r>
    </w:p>
    <w:p>
      <w:pPr>
        <w:pageBreakBefore w:val="false"/>
        <w:spacing w:before="448" w:after="0" w:line="294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Select appropriate alternative(s): </w:t>
      </w:r>
    </w:p>
    <w:p>
      <w:pPr>
        <w:pageBreakBefore w:val="false"/>
        <w:spacing w:before="367" w:after="0" w:line="374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while at a lawfully assembled religious service [funeral, burial or memorial service]</w:t>
      </w:r>
    </w:p>
    <w:p>
      <w:pPr>
        <w:pageBreakBefore w:val="false"/>
        <w:spacing w:before="448" w:after="0" w:line="296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6"/>
          <w:vertAlign w:val="baseline"/>
          <w:lang w:val="en-US"/>
        </w:rPr>
        <w:t xml:space="preserve">[or]</w:t>
      </w:r>
    </w:p>
    <w:p>
      <w:pPr>
        <w:pageBreakBefore w:val="false"/>
        <w:spacing w:before="369" w:after="671" w:line="375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within 300 feet of a lawfully assembled religious service [funeral, burial or memorial service]; and</w:t>
      </w:r>
    </w:p>
    <w:p>
      <w:pPr>
        <w:pageBreakBefore w:val="false"/>
        <w:spacing w:before="271" w:after="0" w:line="29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16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16"/>
          <w:vertAlign w:val="superscript"/>
          <w:lang w:val="en-US"/>
        </w:rPr>
        <w:t xml:space="preserve">2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-1"/>
          <w:w w:val="100"/>
          <w:sz w:val="26"/>
          <w:vertAlign w:val="baseline"/>
          <w:lang w:val="en-US"/>
        </w:rPr>
        <w:t xml:space="preserve"> See 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6"/>
          <w:vertAlign w:val="baseline"/>
          <w:lang w:val="en-US"/>
        </w:rPr>
        <w:t xml:space="preserve">Penal Law § 15.05(3); 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-1"/>
          <w:w w:val="100"/>
          <w:sz w:val="26"/>
          <w:vertAlign w:val="baseline"/>
          <w:lang w:val="en-US"/>
        </w:rPr>
        <w:t xml:space="preserve">People v. Boutin, 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6"/>
          <w:vertAlign w:val="baseline"/>
          <w:lang w:val="en-US"/>
        </w:rPr>
        <w:t xml:space="preserve">75 NY2d 692, 696 (1990).</w:t>
      </w:r>
    </w:p>
    <w:p>
      <w:pPr>
        <w:pageBreakBefore w:val="false"/>
        <w:spacing w:before="250" w:after="0" w:line="29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i w:val="true"/>
          <w:strike w:val="false"/>
          <w:color w:val="000000"/>
          <w:spacing w:val="-2"/>
          <w:w w:val="100"/>
          <w:sz w:val="16"/>
          <w:vertAlign w:val="superscript"/>
          <w:lang w:val="en-US"/>
        </w:rPr>
      </w:pPr>
      <w:r>
        <w:rPr>
          <w:rFonts w:ascii="Times New Roman" w:hAnsi="Times New Roman" w:eastAsia="Times New Roman"/>
          <w:i w:val="true"/>
          <w:strike w:val="false"/>
          <w:color w:val="000000"/>
          <w:spacing w:val="-2"/>
          <w:w w:val="100"/>
          <w:sz w:val="16"/>
          <w:vertAlign w:val="superscript"/>
          <w:lang w:val="en-US"/>
        </w:rPr>
        <w:t xml:space="preserve">3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-2"/>
          <w:w w:val="100"/>
          <w:sz w:val="26"/>
          <w:vertAlign w:val="baseline"/>
          <w:lang w:val="en-US"/>
        </w:rPr>
        <w:t xml:space="preserve"> See </w:t>
      </w: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6"/>
          <w:vertAlign w:val="baseline"/>
          <w:lang w:val="en-US"/>
        </w:rPr>
        <w:t xml:space="preserve">Penal Law § 15.05(3).</w:t>
      </w:r>
    </w:p>
    <w:p>
      <w:pPr>
        <w:sectPr>
          <w:type w:val="nextPage"/>
          <w:pgSz w:w="12240" w:h="15840" w:orient="portrait"/>
          <w:pgMar w:bottom="865" w:top="1080" w:right="2143" w:left="2157" w:header="720" w:footer="1073"/>
          <w:titlePg w:val="false"/>
          <w:textDirection w:val="lrTb"/>
        </w:sectPr>
      </w:pPr>
    </w:p>
    <w:p>
      <w:pPr>
        <w:pageBreakBefore w:val="false"/>
        <w:tabs>
          <w:tab w:val="right" w:leader="none" w:pos="7920"/>
        </w:tabs>
        <w:spacing w:before="12" w:after="0" w:line="29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2.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That the defendant did so with intent to cause annoyance</w:t>
      </w:r>
    </w:p>
    <w:p>
      <w:pPr>
        <w:pageBreakBefore w:val="false"/>
        <w:spacing w:before="7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or alarm or recklessly creating a risk thereof.</w:t>
      </w:r>
    </w:p>
    <w:p>
      <w:pPr>
        <w:pageBreakBefore w:val="false"/>
        <w:spacing w:before="369" w:after="0" w:line="37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6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66" w:after="0" w:line="37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sectPr>
      <w:type w:val="nextPage"/>
      <w:pgSz w:w="12240" w:h="15840" w:orient="portrait"/>
      <w:pgMar w:bottom="865" w:top="1080" w:right="2145" w:left="2155" w:header="720" w:footer="1075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504"/>
      </w:tabs>
      <w:spacing w:before="0" w:after="0" w:line="188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Times New Roman" w:hAnsi="Times New Roman" w:eastAsia="Times New Roman"/>
        <w:strike w:val="false"/>
        <w:color w:val="000000"/>
        <w:spacing w:val="1"/>
        <w:w w:val="100"/>
        <w:sz w:val="16"/>
        <w:vertAlign w:val="baseline"/>
        <w:lang w:val="en-US"/>
      </w:rPr>
      <w:t xml:space="preserve">Page </w:t>
    </w:r>
    <w:r>
      <w:rPr>
        <w:rFonts w:ascii="Times New Roman" w:hAnsi="Times New Roman" w:eastAsia="Times New Roman"/>
        <w:strike w:val="false"/>
        <w:color w:val="000000"/>
        <w:spacing w:val="1"/>
        <w:w w:val="100"/>
        <w:sz w:val="16"/>
        <w:vertAlign w:val="baseline"/>
        <w:lang w:val="en-US"/>
      </w:rPr>
      <w:fldChar w:fldCharType="begin"/>
    </w:r>
    <w:r>
      <w:rPr>
        <w:rFonts w:ascii="Times New Roman" w:hAnsi="Times New Roman" w:eastAsia="Times New Roman"/>
        <w:strike w:val="false"/>
        <w:color w:val="000000"/>
        <w:spacing w:val="1"/>
        <w:w w:val="100"/>
        <w:sz w:val="16"/>
        <w:vertAlign w:val="baseline"/>
        <w:lang w:val="en-US"/>
      </w:rPr>
      <w:instrText xml:space="preserve">PAGE</w:instrText>
    </w:r>
    <w:r>
      <w:rPr>
        <w:rFonts w:ascii="Times New Roman" w:hAnsi="Times New Roman" w:eastAsia="Times New Roman"/>
        <w:strike w:val="false"/>
        <w:color w:val="000000"/>
        <w:spacing w:val="1"/>
        <w:w w:val="100"/>
        <w:sz w:val="16"/>
        <w:vertAlign w:val="baseline"/>
        <w:lang w:val="en-US"/>
      </w:rPr>
      <w:fldChar w:fldCharType="end"/>
    </w:r>
    <w:r>
      <w:rPr>
        <w:rFonts w:ascii="Times New Roman" w:hAnsi="Times New Roman" w:eastAsia="Times New Roman"/>
        <w:strike w:val="false"/>
        <w:color w:val="000000"/>
        <w:spacing w:val="1"/>
        <w:w w:val="100"/>
        <w:sz w:val="16"/>
        <w:vertAlign w:val="baseline"/>
        <w:lang w:val="en-US"/>
      </w:rPr>
      <w:t xml:space="preserve"> of 3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