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NON-SUPPORT OF A CHILD SECOND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260.05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1997)</w:t>
      </w:r>
    </w:p>
    <w:p>
      <w:pPr>
        <w:pageBreakBefore w:val="false"/>
        <w:spacing w:before="317"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countis Non-support of a Child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Non-support of a Child in the Second Degree when, being a parent, guardian or other person legally charged with the care or custody of a child</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28"/>
          <w:vertAlign w:val="baseline"/>
          <w:lang w:val="en-US"/>
        </w:rPr>
        <w:t xml:space="preserve"> less than sixteen years old, he or she fails or refuses without lawful excuse to provide support for such child when he or she is able to do so or becomes unable to do so when, though employable, he or she voluntarily terminates his or her employment, voluntarily reduces his or her earning capacity or fails to diligently seek employment.</w:t>
      </w:r>
    </w:p>
    <w:p>
      <w:pPr>
        <w:pageBreakBefore w:val="false"/>
        <w:spacing w:before="318"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 w:val="right" w:leader="none" w:pos="7920"/>
        </w:tabs>
        <w:spacing w:before="321"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 in the County of</w:t>
        <w:br/>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failed or refused to provide support for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child less than sixteen years old;</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lawful excuse;</w:t>
      </w:r>
    </w:p>
    <w:p>
      <w:pPr>
        <w:pageBreakBefore w:val="false"/>
        <w:numPr>
          <w:ilvl w:val="0"/>
          <w:numId w:val="1"/>
        </w:numPr>
        <w:tabs>
          <w:tab w:val="clear" w:pos="720"/>
          <w:tab w:val="left" w:pos="1440"/>
        </w:tabs>
        <w:spacing w:before="326" w:after="381"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able to provide such support or became unable to do so, when, though employable, he or she voluntarily terminated his or her employment, voluntarily reduced his or her</w:t>
      </w:r>
    </w:p>
    <w:p>
      <w:pPr>
        <w:pageBreakBefore w:val="false"/>
        <w:spacing w:before="259"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11.3pt" to="252.05pt,611.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Although the language of the statute does not include a legal obligation of support, that requirement is inherent in the element of “without lawful excuse.” A “person legally charged with the care and custody of a child” is not further defined because, in the context of this crime, the broad implications of anyone responsible for the “care and custody” is modified by the inherent requirement that such person be legally obligated to support the child.</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earning capacity or failed to diligently seek employment; and</w:t>
      </w:r>
    </w:p>
    <w:p>
      <w:pPr>
        <w:pageBreakBefore w:val="false"/>
        <w:tabs>
          <w:tab w:val="right" w:leader="none" w:pos="7920"/>
        </w:tabs>
        <w:spacing w:before="329"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4.	</w:t>
      </w:r>
      <w:r>
        <w:rPr>
          <w:rFonts w:ascii="Arial" w:hAnsi="Arial" w:eastAsia="Arial"/>
          <w:strike w:val="false"/>
          <w:color w:val="000000"/>
          <w:spacing w:val="0"/>
          <w:w w:val="100"/>
          <w:sz w:val="28"/>
          <w:vertAlign w:val="baseline"/>
          <w:lang w:val="en-US"/>
        </w:rPr>
        <w:t xml:space="preserve">That the defendant was a [parent] [guardian] [person</w:t>
      </w:r>
    </w:p>
    <w:p>
      <w:pPr>
        <w:pageBreakBefore w:val="false"/>
        <w:spacing w:before="7" w:after="0" w:line="322"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legally charged with the care or custody] of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w:t>
      </w:r>
    </w:p>
    <w:p>
      <w:pPr>
        <w:pageBreakBefore w:val="false"/>
        <w:spacing w:before="325"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8452"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8452" w:line="326" w:lineRule="exact"/>
        <w:sectPr>
          <w:type w:val="nextPage"/>
          <w:pgSz w:w="12240" w:h="15840" w:orient="portrait"/>
          <w:pgMar w:bottom="1024" w:top="1440" w:right="2145" w:left="215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