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0C15" w14:textId="3FE23038" w:rsidR="008F1524" w:rsidRDefault="002D5C1E" w:rsidP="008F1524">
      <w:pPr>
        <w:spacing w:before="9" w:line="331" w:lineRule="exact"/>
        <w:jc w:val="center"/>
        <w:textAlignment w:val="baseline"/>
        <w:rPr>
          <w:rFonts w:ascii="Arial" w:eastAsia="Arial" w:hAnsi="Arial"/>
          <w:bCs/>
          <w:sz w:val="24"/>
          <w:szCs w:val="24"/>
        </w:rPr>
      </w:pPr>
      <w:r w:rsidRPr="00C51B4C">
        <w:rPr>
          <w:rFonts w:ascii="Arial" w:eastAsia="Arial" w:hAnsi="Arial"/>
          <w:b/>
          <w:sz w:val="28"/>
        </w:rPr>
        <w:t xml:space="preserve">CRIMINAL POSSESSION OF A WEAPON </w:t>
      </w:r>
      <w:r w:rsidRPr="00C51B4C">
        <w:rPr>
          <w:rFonts w:ascii="Arial" w:eastAsia="Arial" w:hAnsi="Arial"/>
          <w:b/>
          <w:sz w:val="28"/>
        </w:rPr>
        <w:br/>
        <w:t xml:space="preserve">IN THE THIRD DEGREE </w:t>
      </w:r>
      <w:r w:rsidRPr="00C51B4C">
        <w:rPr>
          <w:rFonts w:ascii="Arial" w:eastAsia="Arial" w:hAnsi="Arial"/>
          <w:b/>
          <w:sz w:val="28"/>
        </w:rPr>
        <w:br/>
        <w:t xml:space="preserve">(Possession of </w:t>
      </w:r>
      <w:r w:rsidR="008D17DB">
        <w:rPr>
          <w:rFonts w:ascii="Arial" w:eastAsia="Arial" w:hAnsi="Arial"/>
          <w:b/>
          <w:sz w:val="28"/>
        </w:rPr>
        <w:t>Large Capacity Feeding Device</w:t>
      </w:r>
      <w:r w:rsidRPr="00C51B4C">
        <w:rPr>
          <w:rFonts w:ascii="Arial" w:eastAsia="Arial" w:hAnsi="Arial"/>
          <w:b/>
          <w:sz w:val="28"/>
        </w:rPr>
        <w:t xml:space="preserve">) </w:t>
      </w:r>
      <w:r w:rsidRPr="00C51B4C">
        <w:rPr>
          <w:rFonts w:ascii="Arial" w:eastAsia="Arial" w:hAnsi="Arial"/>
          <w:b/>
          <w:sz w:val="28"/>
        </w:rPr>
        <w:br/>
        <w:t>Penal Law § 265.02(</w:t>
      </w:r>
      <w:r w:rsidR="008D17DB">
        <w:rPr>
          <w:rFonts w:ascii="Arial" w:eastAsia="Arial" w:hAnsi="Arial"/>
          <w:b/>
          <w:sz w:val="28"/>
        </w:rPr>
        <w:t>8</w:t>
      </w:r>
      <w:r w:rsidRPr="00C51B4C">
        <w:rPr>
          <w:rFonts w:ascii="Arial" w:eastAsia="Arial" w:hAnsi="Arial"/>
          <w:b/>
          <w:sz w:val="28"/>
        </w:rPr>
        <w:t xml:space="preserve">) </w:t>
      </w:r>
      <w:r w:rsidRPr="00C51B4C">
        <w:rPr>
          <w:rFonts w:ascii="Arial" w:eastAsia="Arial" w:hAnsi="Arial"/>
          <w:b/>
          <w:sz w:val="28"/>
        </w:rPr>
        <w:br/>
        <w:t xml:space="preserve">(Committed on or after </w:t>
      </w:r>
      <w:r w:rsidR="002374F8">
        <w:rPr>
          <w:rFonts w:ascii="Arial" w:eastAsia="Arial" w:hAnsi="Arial"/>
          <w:b/>
          <w:sz w:val="28"/>
        </w:rPr>
        <w:t>July 6, 2022</w:t>
      </w:r>
      <w:r w:rsidRPr="00C51B4C">
        <w:rPr>
          <w:rFonts w:ascii="Arial" w:eastAsia="Arial" w:hAnsi="Arial"/>
          <w:b/>
          <w:sz w:val="28"/>
        </w:rPr>
        <w:t>)</w:t>
      </w:r>
      <w:r w:rsidR="00E94FB8" w:rsidRPr="00C51B4C">
        <w:rPr>
          <w:rStyle w:val="FootnoteReference"/>
          <w:rFonts w:ascii="Arial" w:eastAsia="Arial" w:hAnsi="Arial"/>
          <w:bCs/>
          <w:sz w:val="24"/>
          <w:szCs w:val="24"/>
        </w:rPr>
        <w:t xml:space="preserve"> </w:t>
      </w:r>
    </w:p>
    <w:p w14:paraId="7A77A516" w14:textId="77777777" w:rsidR="00A90A66" w:rsidRDefault="00A90A66" w:rsidP="00081CAE">
      <w:pPr>
        <w:spacing w:before="9" w:line="331" w:lineRule="exact"/>
        <w:ind w:firstLine="720"/>
        <w:jc w:val="both"/>
        <w:textAlignment w:val="baseline"/>
        <w:rPr>
          <w:rFonts w:ascii="Arial" w:eastAsia="Arial" w:hAnsi="Arial"/>
          <w:bCs/>
          <w:sz w:val="24"/>
          <w:szCs w:val="24"/>
        </w:rPr>
      </w:pPr>
    </w:p>
    <w:p w14:paraId="748AA794" w14:textId="77777777" w:rsidR="00A90A66" w:rsidRDefault="00A90A66" w:rsidP="00081CAE">
      <w:pPr>
        <w:spacing w:before="9" w:line="331" w:lineRule="exact"/>
        <w:ind w:firstLine="720"/>
        <w:jc w:val="both"/>
        <w:textAlignment w:val="baseline"/>
        <w:rPr>
          <w:rFonts w:ascii="Arial" w:eastAsia="Arial" w:hAnsi="Arial"/>
          <w:bCs/>
          <w:sz w:val="24"/>
          <w:szCs w:val="24"/>
        </w:rPr>
      </w:pPr>
    </w:p>
    <w:p w14:paraId="06ED3B7B" w14:textId="5B05473C" w:rsidR="00FC7DA9" w:rsidRPr="00C51B4C" w:rsidRDefault="002D5C1E" w:rsidP="00081CAE">
      <w:pPr>
        <w:spacing w:before="9" w:line="331" w:lineRule="exact"/>
        <w:ind w:firstLine="720"/>
        <w:jc w:val="both"/>
        <w:textAlignment w:val="baseline"/>
        <w:rPr>
          <w:rFonts w:ascii="Arial" w:eastAsia="Arial" w:hAnsi="Arial"/>
          <w:sz w:val="28"/>
        </w:rPr>
      </w:pPr>
      <w:r w:rsidRPr="00C51B4C">
        <w:rPr>
          <w:rFonts w:ascii="Arial" w:eastAsia="Arial" w:hAnsi="Arial"/>
          <w:sz w:val="28"/>
        </w:rPr>
        <w:t>The (</w:t>
      </w:r>
      <w:r w:rsidRPr="00C51B4C">
        <w:rPr>
          <w:rFonts w:ascii="Arial" w:eastAsia="Arial" w:hAnsi="Arial"/>
          <w:i/>
          <w:sz w:val="28"/>
          <w:u w:val="single"/>
        </w:rPr>
        <w:t>specify</w:t>
      </w:r>
      <w:r w:rsidRPr="00C51B4C">
        <w:rPr>
          <w:rFonts w:ascii="Arial" w:eastAsia="Arial" w:hAnsi="Arial"/>
          <w:sz w:val="28"/>
        </w:rPr>
        <w:t>) count is Criminal Possession of a Weapon in the Third Degree.</w:t>
      </w:r>
    </w:p>
    <w:p w14:paraId="6FB46EB0" w14:textId="509EC6BE" w:rsidR="00DB73BB" w:rsidRDefault="002D5C1E" w:rsidP="00C023B3">
      <w:pPr>
        <w:spacing w:before="324" w:line="324" w:lineRule="exact"/>
        <w:ind w:firstLine="720"/>
        <w:jc w:val="both"/>
        <w:textAlignment w:val="baseline"/>
        <w:rPr>
          <w:rFonts w:ascii="Arial" w:eastAsia="Arial" w:hAnsi="Arial"/>
          <w:sz w:val="28"/>
        </w:rPr>
      </w:pPr>
      <w:r w:rsidRPr="00C51B4C">
        <w:rPr>
          <w:rFonts w:ascii="Arial" w:eastAsia="Arial" w:hAnsi="Arial"/>
          <w:sz w:val="28"/>
        </w:rPr>
        <w:t>Under our law, a person is guilty of Criminal Possession of a Weapon in the Third Degree when that person knowingly</w:t>
      </w:r>
      <w:r w:rsidR="0076330E" w:rsidRPr="00C51B4C">
        <w:rPr>
          <w:rStyle w:val="FootnoteReference"/>
          <w:rFonts w:ascii="Arial" w:eastAsia="Arial" w:hAnsi="Arial"/>
          <w:sz w:val="28"/>
        </w:rPr>
        <w:footnoteReference w:id="1"/>
      </w:r>
      <w:r w:rsidRPr="00C51B4C">
        <w:rPr>
          <w:rFonts w:ascii="Arial" w:eastAsia="Arial" w:hAnsi="Arial"/>
          <w:sz w:val="17"/>
        </w:rPr>
        <w:t xml:space="preserve"> </w:t>
      </w:r>
      <w:r w:rsidRPr="00C51B4C">
        <w:rPr>
          <w:rFonts w:ascii="Arial" w:eastAsia="Arial" w:hAnsi="Arial"/>
          <w:sz w:val="28"/>
        </w:rPr>
        <w:t xml:space="preserve">possesses </w:t>
      </w:r>
      <w:r w:rsidR="002F1AE7">
        <w:rPr>
          <w:rFonts w:ascii="Arial" w:eastAsia="Arial" w:hAnsi="Arial"/>
          <w:sz w:val="28"/>
        </w:rPr>
        <w:t xml:space="preserve">a </w:t>
      </w:r>
      <w:bookmarkStart w:id="0" w:name="_Hlk110443038"/>
      <w:r w:rsidR="002F1AE7">
        <w:rPr>
          <w:rFonts w:ascii="Arial" w:eastAsia="Arial" w:hAnsi="Arial"/>
          <w:sz w:val="28"/>
        </w:rPr>
        <w:t>large capacity</w:t>
      </w:r>
      <w:r w:rsidR="000E4873">
        <w:rPr>
          <w:rFonts w:ascii="Arial" w:eastAsia="Arial" w:hAnsi="Arial"/>
          <w:sz w:val="28"/>
        </w:rPr>
        <w:t xml:space="preserve"> ammunition</w:t>
      </w:r>
      <w:r w:rsidR="002F1AE7">
        <w:rPr>
          <w:rFonts w:ascii="Arial" w:eastAsia="Arial" w:hAnsi="Arial"/>
          <w:sz w:val="28"/>
        </w:rPr>
        <w:t xml:space="preserve"> </w:t>
      </w:r>
      <w:r w:rsidR="005E2F1B">
        <w:rPr>
          <w:rFonts w:ascii="Arial" w:eastAsia="Arial" w:hAnsi="Arial"/>
          <w:sz w:val="28"/>
        </w:rPr>
        <w:t>feeding device</w:t>
      </w:r>
      <w:bookmarkEnd w:id="0"/>
      <w:r w:rsidR="005E2F1B">
        <w:rPr>
          <w:rFonts w:ascii="Arial" w:eastAsia="Arial" w:hAnsi="Arial"/>
          <w:sz w:val="28"/>
        </w:rPr>
        <w:t>.</w:t>
      </w:r>
    </w:p>
    <w:p w14:paraId="491731FF" w14:textId="5B89CA3C" w:rsidR="00CD48B3" w:rsidRDefault="002D5C1E" w:rsidP="00F20718">
      <w:pPr>
        <w:spacing w:before="324" w:line="324" w:lineRule="exact"/>
        <w:ind w:firstLine="720"/>
        <w:jc w:val="both"/>
        <w:textAlignment w:val="baseline"/>
        <w:rPr>
          <w:rFonts w:ascii="Arial" w:eastAsia="Arial" w:hAnsi="Arial"/>
          <w:spacing w:val="-4"/>
          <w:sz w:val="28"/>
        </w:rPr>
      </w:pPr>
      <w:r w:rsidRPr="00C51B4C">
        <w:rPr>
          <w:rFonts w:ascii="Arial" w:eastAsia="Arial" w:hAnsi="Arial"/>
          <w:sz w:val="28"/>
        </w:rPr>
        <w:t>The following terms used in that definition have a special meaning:</w:t>
      </w:r>
    </w:p>
    <w:p w14:paraId="3F1A779F" w14:textId="048D37EC" w:rsidR="008F1524" w:rsidRDefault="00125D64" w:rsidP="00CD48B3">
      <w:pPr>
        <w:spacing w:before="324" w:line="324" w:lineRule="exact"/>
        <w:ind w:firstLine="720"/>
        <w:jc w:val="both"/>
        <w:textAlignment w:val="baseline"/>
        <w:rPr>
          <w:rFonts w:ascii="Arial" w:eastAsia="Arial" w:hAnsi="Arial"/>
          <w:spacing w:val="-4"/>
          <w:sz w:val="28"/>
        </w:rPr>
      </w:pPr>
      <w:bookmarkStart w:id="1" w:name="_Hlk115440081"/>
      <w:r w:rsidRPr="00125D64">
        <w:rPr>
          <w:rFonts w:ascii="Arial" w:eastAsia="Arial" w:hAnsi="Arial"/>
          <w:spacing w:val="-4"/>
          <w:sz w:val="28"/>
        </w:rPr>
        <w:t xml:space="preserve">LARGE CAPACITY AMMUNITION FEEDING DEVICE </w:t>
      </w:r>
      <w:bookmarkEnd w:id="1"/>
      <w:r w:rsidRPr="00125D64">
        <w:rPr>
          <w:rFonts w:ascii="Arial" w:eastAsia="Arial" w:hAnsi="Arial"/>
          <w:spacing w:val="-4"/>
          <w:sz w:val="28"/>
        </w:rPr>
        <w:t xml:space="preserve">means a magazine, belt, drum, feed strip, or similar device that has a capacity of, or that can be readily restored or converted to accept, </w:t>
      </w:r>
      <w:r w:rsidR="00316FC3">
        <w:rPr>
          <w:rFonts w:ascii="Arial" w:eastAsia="Arial" w:hAnsi="Arial"/>
          <w:spacing w:val="-4"/>
          <w:sz w:val="28"/>
        </w:rPr>
        <w:t xml:space="preserve">more </w:t>
      </w:r>
      <w:r w:rsidR="00142785">
        <w:rPr>
          <w:rFonts w:ascii="Arial" w:eastAsia="Arial" w:hAnsi="Arial"/>
          <w:spacing w:val="-4"/>
          <w:sz w:val="28"/>
        </w:rPr>
        <w:t>t</w:t>
      </w:r>
      <w:r w:rsidRPr="00125D64">
        <w:rPr>
          <w:rFonts w:ascii="Arial" w:eastAsia="Arial" w:hAnsi="Arial"/>
          <w:spacing w:val="-4"/>
          <w:sz w:val="28"/>
        </w:rPr>
        <w:t>han ten rounds of ammunition.</w:t>
      </w:r>
      <w:r w:rsidRPr="00125D64">
        <w:rPr>
          <w:rFonts w:ascii="Arial" w:eastAsia="Arial" w:hAnsi="Arial"/>
          <w:spacing w:val="-4"/>
          <w:sz w:val="28"/>
          <w:vertAlign w:val="superscript"/>
        </w:rPr>
        <w:footnoteReference w:id="2"/>
      </w:r>
      <w:r w:rsidR="00947BC8">
        <w:rPr>
          <w:rFonts w:ascii="Arial" w:eastAsia="Arial" w:hAnsi="Arial"/>
          <w:spacing w:val="-4"/>
          <w:sz w:val="28"/>
        </w:rPr>
        <w:t xml:space="preserve"> </w:t>
      </w:r>
    </w:p>
    <w:p w14:paraId="0711C534" w14:textId="3CE52DCA" w:rsidR="00FC7DA9" w:rsidRPr="00C51B4C" w:rsidRDefault="002D5C1E">
      <w:pPr>
        <w:spacing w:before="328" w:line="323" w:lineRule="exact"/>
        <w:ind w:firstLine="720"/>
        <w:jc w:val="both"/>
        <w:textAlignment w:val="baseline"/>
        <w:rPr>
          <w:rFonts w:ascii="Arial" w:eastAsia="Arial" w:hAnsi="Arial"/>
          <w:spacing w:val="-4"/>
          <w:sz w:val="28"/>
        </w:rPr>
      </w:pPr>
      <w:r w:rsidRPr="00C51B4C">
        <w:rPr>
          <w:rFonts w:ascii="Arial" w:eastAsia="Arial" w:hAnsi="Arial"/>
          <w:spacing w:val="-4"/>
          <w:sz w:val="28"/>
        </w:rPr>
        <w:lastRenderedPageBreak/>
        <w:t>POSSESS means to have physical possession or otherwise to exercise dominion or control over tangible property.</w:t>
      </w:r>
      <w:r w:rsidR="006D4427" w:rsidRPr="00C51B4C">
        <w:rPr>
          <w:rStyle w:val="FootnoteReference"/>
          <w:rFonts w:ascii="Arial" w:eastAsia="Arial" w:hAnsi="Arial"/>
          <w:spacing w:val="-4"/>
          <w:sz w:val="28"/>
        </w:rPr>
        <w:footnoteReference w:id="3"/>
      </w:r>
      <w:r w:rsidRPr="00C51B4C">
        <w:rPr>
          <w:rFonts w:ascii="Arial" w:eastAsia="Arial" w:hAnsi="Arial"/>
          <w:spacing w:val="-4"/>
          <w:sz w:val="17"/>
        </w:rPr>
        <w:t xml:space="preserve"> </w:t>
      </w:r>
    </w:p>
    <w:p w14:paraId="34B1F99E" w14:textId="0FE497E1" w:rsidR="00C23E8B" w:rsidRDefault="002D5C1E" w:rsidP="00791793">
      <w:pPr>
        <w:spacing w:before="240" w:after="120" w:line="327" w:lineRule="exact"/>
        <w:ind w:firstLine="720"/>
        <w:jc w:val="both"/>
        <w:textAlignment w:val="baseline"/>
        <w:rPr>
          <w:rFonts w:ascii="Arial" w:eastAsia="Arial" w:hAnsi="Arial"/>
          <w:spacing w:val="-3"/>
          <w:sz w:val="17"/>
        </w:rPr>
      </w:pPr>
      <w:r w:rsidRPr="00C51B4C">
        <w:rPr>
          <w:rFonts w:ascii="Arial" w:eastAsia="Arial" w:hAnsi="Arial"/>
          <w:sz w:val="28"/>
        </w:rPr>
        <w:t xml:space="preserve">A person KNOWINGLY possesses a </w:t>
      </w:r>
      <w:r w:rsidR="000E4873">
        <w:rPr>
          <w:rFonts w:ascii="Arial" w:eastAsia="Arial" w:hAnsi="Arial"/>
          <w:sz w:val="28"/>
        </w:rPr>
        <w:t>large capacity ammunition feeding device</w:t>
      </w:r>
      <w:r w:rsidR="000E4873" w:rsidRPr="00C51B4C">
        <w:rPr>
          <w:rFonts w:ascii="Arial" w:eastAsia="Arial" w:hAnsi="Arial"/>
          <w:sz w:val="28"/>
        </w:rPr>
        <w:t xml:space="preserve"> </w:t>
      </w:r>
      <w:r w:rsidRPr="00C51B4C">
        <w:rPr>
          <w:rFonts w:ascii="Arial" w:eastAsia="Arial" w:hAnsi="Arial"/>
          <w:sz w:val="28"/>
        </w:rPr>
        <w:t>when that person is aware that he or she is in possession of</w:t>
      </w:r>
      <w:r w:rsidR="000E47B6" w:rsidRPr="00C51B4C">
        <w:rPr>
          <w:rFonts w:ascii="Arial" w:eastAsia="Arial" w:hAnsi="Arial"/>
          <w:sz w:val="28"/>
        </w:rPr>
        <w:t xml:space="preserve"> </w:t>
      </w:r>
      <w:r w:rsidR="000E4873">
        <w:rPr>
          <w:rFonts w:ascii="Arial" w:eastAsia="Arial" w:hAnsi="Arial"/>
          <w:sz w:val="28"/>
        </w:rPr>
        <w:t>large capacity ammunition feeding device</w:t>
      </w:r>
      <w:r w:rsidRPr="00C51B4C">
        <w:rPr>
          <w:rFonts w:ascii="Arial" w:eastAsia="Arial" w:hAnsi="Arial"/>
          <w:spacing w:val="-3"/>
          <w:sz w:val="28"/>
        </w:rPr>
        <w:t>.</w:t>
      </w:r>
      <w:r w:rsidR="00C23E8B" w:rsidRPr="00C51B4C">
        <w:rPr>
          <w:rStyle w:val="FootnoteReference"/>
          <w:rFonts w:ascii="Arial" w:eastAsia="Arial" w:hAnsi="Arial"/>
          <w:spacing w:val="-3"/>
          <w:sz w:val="28"/>
        </w:rPr>
        <w:footnoteReference w:id="4"/>
      </w:r>
      <w:r w:rsidRPr="00C51B4C">
        <w:rPr>
          <w:rFonts w:ascii="Arial" w:eastAsia="Arial" w:hAnsi="Arial"/>
          <w:spacing w:val="-3"/>
          <w:sz w:val="17"/>
        </w:rPr>
        <w:t xml:space="preserve"> </w:t>
      </w:r>
    </w:p>
    <w:p w14:paraId="027AD8FC" w14:textId="2918BA5B" w:rsidR="00FC7DA9" w:rsidRPr="00C51B4C" w:rsidRDefault="002D5C1E" w:rsidP="00791793">
      <w:pPr>
        <w:spacing w:before="240" w:after="120" w:line="327" w:lineRule="exact"/>
        <w:ind w:firstLine="720"/>
        <w:jc w:val="both"/>
        <w:textAlignment w:val="baseline"/>
        <w:rPr>
          <w:rFonts w:ascii="Arial" w:eastAsia="Arial" w:hAnsi="Arial"/>
          <w:spacing w:val="-4"/>
          <w:sz w:val="28"/>
        </w:rPr>
      </w:pPr>
      <w:r w:rsidRPr="00C51B4C">
        <w:rPr>
          <w:rFonts w:ascii="Arial" w:eastAsia="Arial" w:hAnsi="Arial"/>
          <w:spacing w:val="-4"/>
          <w:sz w:val="28"/>
        </w:rPr>
        <w:t>In order for you to find the defendant guilty of this crime, the People are required to prove, from all the evidence in the case, beyond a reasonable doubt, both of the following two elements:</w:t>
      </w:r>
    </w:p>
    <w:p w14:paraId="3DE2E5E2" w14:textId="5684B383" w:rsidR="00FC7DA9" w:rsidRPr="00C51B4C" w:rsidRDefault="002D5C1E">
      <w:pPr>
        <w:numPr>
          <w:ilvl w:val="0"/>
          <w:numId w:val="1"/>
        </w:numPr>
        <w:tabs>
          <w:tab w:val="clear" w:pos="720"/>
          <w:tab w:val="left" w:pos="1440"/>
        </w:tabs>
        <w:spacing w:before="328" w:line="321" w:lineRule="exact"/>
        <w:ind w:left="1440" w:hanging="720"/>
        <w:jc w:val="both"/>
        <w:textAlignment w:val="baseline"/>
        <w:rPr>
          <w:rFonts w:ascii="Arial" w:eastAsia="Arial" w:hAnsi="Arial"/>
          <w:sz w:val="28"/>
        </w:rPr>
      </w:pPr>
      <w:r w:rsidRPr="00C51B4C">
        <w:rPr>
          <w:rFonts w:ascii="Arial" w:eastAsia="Arial" w:hAnsi="Arial"/>
          <w:sz w:val="28"/>
        </w:rPr>
        <w:t xml:space="preserve">That on or about </w:t>
      </w:r>
      <w:r w:rsidRPr="00C51B4C">
        <w:rPr>
          <w:rFonts w:ascii="Arial" w:eastAsia="Arial" w:hAnsi="Arial"/>
          <w:i/>
          <w:sz w:val="23"/>
          <w:u w:val="single"/>
        </w:rPr>
        <w:t xml:space="preserve"> (date)</w:t>
      </w:r>
      <w:r w:rsidRPr="00C51B4C">
        <w:rPr>
          <w:rFonts w:ascii="Arial" w:eastAsia="Arial" w:hAnsi="Arial"/>
          <w:sz w:val="28"/>
        </w:rPr>
        <w:t xml:space="preserve">, in the </w:t>
      </w:r>
      <w:r w:rsidR="0068492C">
        <w:rPr>
          <w:rFonts w:ascii="Arial" w:eastAsia="Arial" w:hAnsi="Arial"/>
          <w:sz w:val="28"/>
        </w:rPr>
        <w:t>C</w:t>
      </w:r>
      <w:r w:rsidRPr="00C51B4C">
        <w:rPr>
          <w:rFonts w:ascii="Arial" w:eastAsia="Arial" w:hAnsi="Arial"/>
          <w:sz w:val="28"/>
        </w:rPr>
        <w:t xml:space="preserve">ounty of </w:t>
      </w:r>
      <w:r w:rsidRPr="00C51B4C">
        <w:rPr>
          <w:rFonts w:ascii="Arial" w:eastAsia="Arial" w:hAnsi="Arial"/>
          <w:i/>
          <w:sz w:val="23"/>
          <w:u w:val="single"/>
        </w:rPr>
        <w:t xml:space="preserve"> (</w:t>
      </w:r>
      <w:r w:rsidR="0068492C">
        <w:rPr>
          <w:rFonts w:ascii="Arial" w:eastAsia="Arial" w:hAnsi="Arial"/>
          <w:i/>
          <w:sz w:val="23"/>
          <w:u w:val="single"/>
        </w:rPr>
        <w:t>C</w:t>
      </w:r>
      <w:r w:rsidRPr="00C51B4C">
        <w:rPr>
          <w:rFonts w:ascii="Arial" w:eastAsia="Arial" w:hAnsi="Arial"/>
          <w:i/>
          <w:sz w:val="23"/>
          <w:u w:val="single"/>
        </w:rPr>
        <w:t>ounty)</w:t>
      </w:r>
      <w:r w:rsidRPr="00C51B4C">
        <w:rPr>
          <w:rFonts w:ascii="Arial" w:eastAsia="Arial" w:hAnsi="Arial"/>
          <w:sz w:val="28"/>
        </w:rPr>
        <w:t xml:space="preserve">, the defendant, </w:t>
      </w:r>
      <w:r w:rsidRPr="00C51B4C">
        <w:rPr>
          <w:rFonts w:ascii="Arial" w:eastAsia="Arial" w:hAnsi="Arial"/>
          <w:i/>
          <w:sz w:val="23"/>
          <w:u w:val="single"/>
        </w:rPr>
        <w:t xml:space="preserve"> (defendant's name) </w:t>
      </w:r>
      <w:r w:rsidRPr="00C51B4C">
        <w:rPr>
          <w:rFonts w:ascii="Arial" w:eastAsia="Arial" w:hAnsi="Arial"/>
          <w:sz w:val="28"/>
        </w:rPr>
        <w:t xml:space="preserve"> possessed a </w:t>
      </w:r>
      <w:r w:rsidR="0068492C">
        <w:rPr>
          <w:rFonts w:ascii="Arial" w:eastAsia="Arial" w:hAnsi="Arial"/>
          <w:sz w:val="28"/>
        </w:rPr>
        <w:t>large capacity ammunition feeding device</w:t>
      </w:r>
      <w:r w:rsidRPr="00C51B4C">
        <w:rPr>
          <w:rFonts w:ascii="Arial" w:eastAsia="Arial" w:hAnsi="Arial"/>
          <w:sz w:val="28"/>
        </w:rPr>
        <w:t>;</w:t>
      </w:r>
      <w:r w:rsidR="0068492C">
        <w:rPr>
          <w:rFonts w:ascii="Arial" w:eastAsia="Arial" w:hAnsi="Arial"/>
          <w:sz w:val="28"/>
        </w:rPr>
        <w:t xml:space="preserve"> and</w:t>
      </w:r>
    </w:p>
    <w:p w14:paraId="4499DAA2" w14:textId="77777777" w:rsidR="00FC7DA9" w:rsidRPr="00C51B4C" w:rsidRDefault="002D5C1E">
      <w:pPr>
        <w:numPr>
          <w:ilvl w:val="0"/>
          <w:numId w:val="1"/>
        </w:numPr>
        <w:tabs>
          <w:tab w:val="clear" w:pos="720"/>
          <w:tab w:val="left" w:pos="1440"/>
        </w:tabs>
        <w:spacing w:before="332" w:line="316" w:lineRule="exact"/>
        <w:ind w:left="1440" w:hanging="720"/>
        <w:jc w:val="both"/>
        <w:textAlignment w:val="baseline"/>
        <w:rPr>
          <w:rFonts w:ascii="Arial" w:eastAsia="Arial" w:hAnsi="Arial"/>
          <w:sz w:val="28"/>
        </w:rPr>
      </w:pPr>
      <w:r w:rsidRPr="00C51B4C">
        <w:rPr>
          <w:rFonts w:ascii="Arial" w:eastAsia="Arial" w:hAnsi="Arial"/>
          <w:sz w:val="28"/>
        </w:rPr>
        <w:t>That the defendant did so knowingly.</w:t>
      </w:r>
    </w:p>
    <w:p w14:paraId="64CAE951" w14:textId="77777777" w:rsidR="00D85D8C" w:rsidRPr="00C51B4C" w:rsidRDefault="002D5C1E" w:rsidP="00D85D8C">
      <w:pPr>
        <w:spacing w:before="333" w:line="321" w:lineRule="exact"/>
        <w:ind w:firstLine="720"/>
        <w:jc w:val="both"/>
        <w:textAlignment w:val="baseline"/>
        <w:rPr>
          <w:rFonts w:ascii="Arial" w:eastAsia="Arial" w:hAnsi="Arial"/>
          <w:sz w:val="28"/>
        </w:rPr>
      </w:pPr>
      <w:r w:rsidRPr="00C51B4C">
        <w:rPr>
          <w:rFonts w:ascii="Arial" w:eastAsia="Arial" w:hAnsi="Arial"/>
          <w:sz w:val="28"/>
        </w:rPr>
        <w:t>If you find the People have proven beyond a reasonable doubt both of those elements, you must find the defendant guilty of this crime.</w:t>
      </w:r>
    </w:p>
    <w:p w14:paraId="7E4F3602" w14:textId="03E4F017" w:rsidR="00FC7DA9" w:rsidRPr="00C51B4C" w:rsidRDefault="002D5C1E" w:rsidP="00B352C1">
      <w:pPr>
        <w:spacing w:before="333" w:line="321" w:lineRule="exact"/>
        <w:ind w:firstLine="720"/>
        <w:jc w:val="both"/>
        <w:textAlignment w:val="baseline"/>
        <w:rPr>
          <w:rFonts w:ascii="Arial" w:eastAsia="Arial" w:hAnsi="Arial"/>
          <w:spacing w:val="-3"/>
          <w:sz w:val="28"/>
        </w:rPr>
        <w:sectPr w:rsidR="00FC7DA9" w:rsidRPr="00C51B4C">
          <w:pgSz w:w="12240" w:h="15840"/>
          <w:pgMar w:top="1400" w:right="2145" w:bottom="1024" w:left="2155" w:header="720" w:footer="720" w:gutter="0"/>
          <w:cols w:space="720"/>
        </w:sectPr>
      </w:pPr>
      <w:r w:rsidRPr="00C51B4C">
        <w:rPr>
          <w:rFonts w:ascii="Arial" w:eastAsia="Arial" w:hAnsi="Arial"/>
          <w:spacing w:val="-3"/>
          <w:sz w:val="28"/>
        </w:rPr>
        <w:t>If you find the People have not proven beyond a reasonable doubt either one or both of those elements, you must find the defendant not guilty of this crime.</w:t>
      </w:r>
    </w:p>
    <w:p w14:paraId="3FD7F139" w14:textId="68EEFB57" w:rsidR="00FC7DA9" w:rsidRPr="00C51B4C" w:rsidRDefault="00FC7DA9" w:rsidP="00B352C1">
      <w:pPr>
        <w:spacing w:before="257" w:line="276" w:lineRule="exact"/>
        <w:textAlignment w:val="baseline"/>
        <w:rPr>
          <w:rFonts w:ascii="Arial" w:eastAsia="Arial" w:hAnsi="Arial"/>
          <w:spacing w:val="-4"/>
          <w:sz w:val="14"/>
          <w:vertAlign w:val="superscript"/>
        </w:rPr>
      </w:pPr>
    </w:p>
    <w:sectPr w:rsidR="00FC7DA9" w:rsidRPr="00C51B4C">
      <w:type w:val="continuous"/>
      <w:pgSz w:w="12240" w:h="15840"/>
      <w:pgMar w:top="1400" w:right="7160" w:bottom="1024" w:left="21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77E9" w14:textId="77777777" w:rsidR="00E67ECE" w:rsidRDefault="00E67ECE" w:rsidP="0076330E">
      <w:r>
        <w:separator/>
      </w:r>
    </w:p>
  </w:endnote>
  <w:endnote w:type="continuationSeparator" w:id="0">
    <w:p w14:paraId="03DF7781" w14:textId="77777777" w:rsidR="00E67ECE" w:rsidRDefault="00E67ECE" w:rsidP="0076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610A" w14:textId="77777777" w:rsidR="00E67ECE" w:rsidRDefault="00E67ECE" w:rsidP="0076330E">
      <w:r>
        <w:separator/>
      </w:r>
    </w:p>
  </w:footnote>
  <w:footnote w:type="continuationSeparator" w:id="0">
    <w:p w14:paraId="29D46C58" w14:textId="77777777" w:rsidR="00E67ECE" w:rsidRDefault="00E67ECE" w:rsidP="0076330E">
      <w:r>
        <w:continuationSeparator/>
      </w:r>
    </w:p>
  </w:footnote>
  <w:footnote w:id="1">
    <w:p w14:paraId="00705F12" w14:textId="0CD7FC7D" w:rsidR="0048280B" w:rsidRPr="0048280B" w:rsidRDefault="0076330E" w:rsidP="0048280B">
      <w:pPr>
        <w:widowControl w:val="0"/>
        <w:autoSpaceDE w:val="0"/>
        <w:autoSpaceDN w:val="0"/>
        <w:adjustRightInd w:val="0"/>
        <w:jc w:val="both"/>
        <w:rPr>
          <w:rFonts w:ascii="Arial" w:eastAsia="Times New Roman" w:hAnsi="Arial" w:cs="Arial"/>
          <w:color w:val="00B050"/>
        </w:rPr>
      </w:pPr>
      <w:r w:rsidRPr="004F0002">
        <w:rPr>
          <w:rStyle w:val="FootnoteReference"/>
          <w:rFonts w:ascii="Arial" w:hAnsi="Arial" w:cs="Arial"/>
        </w:rPr>
        <w:footnoteRef/>
      </w:r>
      <w:r w:rsidRPr="004F0002">
        <w:rPr>
          <w:rFonts w:ascii="Arial" w:hAnsi="Arial" w:cs="Arial"/>
        </w:rPr>
        <w:t xml:space="preserve"> </w:t>
      </w:r>
      <w:r w:rsidR="0048280B" w:rsidRPr="0048280B">
        <w:rPr>
          <w:rFonts w:ascii="Arial" w:eastAsiaTheme="minorEastAsia" w:hAnsi="Arial" w:cs="Arial"/>
          <w:spacing w:val="-2"/>
        </w:rPr>
        <w:t>The word "knowingly" has been added to this definition to comport with statutory law (</w:t>
      </w:r>
      <w:r w:rsidR="0048280B" w:rsidRPr="0048280B">
        <w:rPr>
          <w:rFonts w:ascii="Arial" w:eastAsiaTheme="minorEastAsia" w:hAnsi="Arial" w:cs="Arial"/>
          <w:i/>
          <w:spacing w:val="-2"/>
        </w:rPr>
        <w:t xml:space="preserve">see </w:t>
      </w:r>
      <w:r w:rsidR="0048280B" w:rsidRPr="0048280B">
        <w:rPr>
          <w:rFonts w:ascii="Arial" w:eastAsiaTheme="minorEastAsia" w:hAnsi="Arial" w:cs="Arial"/>
          <w:spacing w:val="-2"/>
        </w:rPr>
        <w:t xml:space="preserve">Penal Law § § 15.00(2) and 15.05 [2]) and with case law.  </w:t>
      </w:r>
      <w:r w:rsidR="0048280B" w:rsidRPr="0048280B">
        <w:rPr>
          <w:rFonts w:ascii="Arial" w:eastAsiaTheme="minorEastAsia" w:hAnsi="Arial" w:cs="Arial"/>
          <w:i/>
          <w:iCs/>
          <w:spacing w:val="-2"/>
        </w:rPr>
        <w:t>People v Persce</w:t>
      </w:r>
      <w:r w:rsidR="0048280B" w:rsidRPr="0048280B">
        <w:rPr>
          <w:rFonts w:ascii="Arial" w:eastAsiaTheme="minorEastAsia" w:hAnsi="Arial" w:cs="Arial"/>
          <w:i/>
          <w:spacing w:val="-2"/>
        </w:rPr>
        <w:t xml:space="preserve">, </w:t>
      </w:r>
      <w:r w:rsidR="0048280B" w:rsidRPr="0048280B">
        <w:rPr>
          <w:rFonts w:ascii="Arial" w:eastAsiaTheme="minorEastAsia" w:hAnsi="Arial" w:cs="Arial"/>
          <w:iCs/>
          <w:spacing w:val="-2"/>
        </w:rPr>
        <w:t xml:space="preserve">204 NY 397, 402 (1912) ("the possession [of a slungshot] which is meant is a knowing and voluntary one"); </w:t>
      </w:r>
      <w:r w:rsidR="0048280B" w:rsidRPr="0048280B">
        <w:rPr>
          <w:rFonts w:ascii="Arial" w:eastAsiaTheme="minorEastAsia" w:hAnsi="Arial" w:cs="Arial"/>
          <w:i/>
          <w:iCs/>
          <w:spacing w:val="-2"/>
        </w:rPr>
        <w:t>People v Saunders</w:t>
      </w:r>
      <w:r w:rsidR="0048280B" w:rsidRPr="0048280B">
        <w:rPr>
          <w:rFonts w:ascii="Arial" w:eastAsiaTheme="minorEastAsia" w:hAnsi="Arial" w:cs="Arial"/>
          <w:i/>
          <w:spacing w:val="-2"/>
        </w:rPr>
        <w:t xml:space="preserve">, </w:t>
      </w:r>
      <w:r w:rsidR="0048280B" w:rsidRPr="0048280B">
        <w:rPr>
          <w:rFonts w:ascii="Arial" w:eastAsiaTheme="minorEastAsia" w:hAnsi="Arial" w:cs="Arial"/>
          <w:iCs/>
          <w:spacing w:val="-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48280B" w:rsidRPr="0048280B">
        <w:rPr>
          <w:rFonts w:ascii="Arial" w:eastAsiaTheme="minorEastAsia" w:hAnsi="Arial" w:cs="Arial"/>
          <w:i/>
          <w:spacing w:val="-2"/>
        </w:rPr>
        <w:t xml:space="preserve">People v Ford, </w:t>
      </w:r>
      <w:r w:rsidR="0048280B" w:rsidRPr="0048280B">
        <w:rPr>
          <w:rFonts w:ascii="Arial" w:eastAsiaTheme="minorEastAsia" w:hAnsi="Arial" w:cs="Arial"/>
          <w:spacing w:val="-2"/>
        </w:rPr>
        <w:t>66 NY2d 428, 440 (1985) (the offense of possession of a loaded firearm requires that the possession be knowing)</w:t>
      </w:r>
      <w:r w:rsidR="00F20718">
        <w:rPr>
          <w:rFonts w:ascii="Arial" w:eastAsiaTheme="minorEastAsia" w:hAnsi="Arial" w:cs="Arial"/>
          <w:spacing w:val="-2"/>
        </w:rPr>
        <w:t>.</w:t>
      </w:r>
    </w:p>
    <w:p w14:paraId="4384828B" w14:textId="77777777" w:rsidR="0076330E" w:rsidRPr="0048280B" w:rsidRDefault="0076330E">
      <w:pPr>
        <w:pStyle w:val="FootnoteText"/>
        <w:rPr>
          <w:rFonts w:ascii="Arial" w:hAnsi="Arial" w:cs="Arial"/>
          <w:sz w:val="22"/>
          <w:szCs w:val="22"/>
        </w:rPr>
      </w:pPr>
    </w:p>
  </w:footnote>
  <w:footnote w:id="2">
    <w:p w14:paraId="36E1BCEB" w14:textId="77777777" w:rsidR="00125D64" w:rsidRPr="0048280B" w:rsidRDefault="00125D64" w:rsidP="000E4873">
      <w:pPr>
        <w:ind w:right="144"/>
        <w:jc w:val="both"/>
        <w:rPr>
          <w:rFonts w:ascii="Arial" w:hAnsi="Arial" w:cs="Arial"/>
        </w:rPr>
      </w:pPr>
      <w:r w:rsidRPr="0048280B">
        <w:rPr>
          <w:rStyle w:val="FootnoteReference"/>
          <w:rFonts w:ascii="Arial" w:hAnsi="Arial" w:cs="Arial"/>
        </w:rPr>
        <w:footnoteRef/>
      </w:r>
      <w:r w:rsidRPr="0048280B">
        <w:rPr>
          <w:rFonts w:ascii="Arial" w:hAnsi="Arial" w:cs="Arial"/>
        </w:rPr>
        <w:t xml:space="preserve"> </w:t>
      </w:r>
      <w:r w:rsidRPr="0048280B">
        <w:rPr>
          <w:rFonts w:ascii="Arial" w:hAnsi="Arial" w:cs="Arial"/>
          <w:i/>
          <w:iCs/>
        </w:rPr>
        <w:t>See</w:t>
      </w:r>
      <w:r w:rsidRPr="0048280B">
        <w:rPr>
          <w:rFonts w:ascii="Arial" w:hAnsi="Arial" w:cs="Arial"/>
        </w:rPr>
        <w:t xml:space="preserve"> Penal Law </w:t>
      </w:r>
      <w:r w:rsidRPr="0048280B">
        <w:rPr>
          <w:rFonts w:ascii="Arial" w:hAnsi="Arial" w:cs="Arial"/>
        </w:rPr>
        <w:sym w:font="WP TypographicSymbols" w:char="0027"/>
      </w:r>
      <w:r w:rsidRPr="0048280B">
        <w:rPr>
          <w:rFonts w:ascii="Arial" w:hAnsi="Arial" w:cs="Arial"/>
        </w:rPr>
        <w:t xml:space="preserve"> 265.00(23).  As may be appropriate to include, the statutory definition of “large capacity feeding device” continues: </w:t>
      </w:r>
    </w:p>
    <w:p w14:paraId="0D194862" w14:textId="77777777" w:rsidR="00125D64" w:rsidRPr="0012302E" w:rsidRDefault="00125D64" w:rsidP="00125D64">
      <w:pPr>
        <w:ind w:right="144"/>
        <w:rPr>
          <w:rFonts w:ascii="Arial" w:hAnsi="Arial" w:cs="Arial"/>
          <w:sz w:val="20"/>
          <w:szCs w:val="20"/>
        </w:rPr>
      </w:pPr>
    </w:p>
    <w:p w14:paraId="1DFA963E" w14:textId="2EAA6B6C" w:rsidR="00125D64" w:rsidRPr="008F1524" w:rsidRDefault="00125D64" w:rsidP="007B1C97">
      <w:pPr>
        <w:spacing w:after="240"/>
        <w:ind w:left="288" w:right="144"/>
        <w:jc w:val="both"/>
        <w:rPr>
          <w:rFonts w:ascii="Arial" w:hAnsi="Arial" w:cs="Arial"/>
        </w:rPr>
      </w:pPr>
      <w:r w:rsidRPr="008F1524">
        <w:rPr>
          <w:rFonts w:ascii="Arial" w:hAnsi="Arial" w:cs="Arial"/>
        </w:rPr>
        <w:t xml:space="preserve">“provided, however, that such term does not include an attached tubular device designed to accept, and capable of operating only with, .22 caliber rimfire ammunition or a feeding device that is a curio or relic.  A feeding device that is a curio or relic is defined as a device that (i) was manufactured at least fifty years prior to the current date, (ii) is only capable of being used exclusively in a firearm, rifle, or shotgun that was manufactured at least fifty years prior to the current date, but not including replicas thereof, (iii) is possessed by an individual who is not prohibited by state or federal law from possessing a firearm and (iv) is registered with the division of state police pursuant to subdivision sixteen-a of section 400.00 of this chapter, except </w:t>
      </w:r>
      <w:r w:rsidR="005522A1">
        <w:rPr>
          <w:rFonts w:ascii="Arial" w:hAnsi="Arial" w:cs="Arial"/>
        </w:rPr>
        <w:t xml:space="preserve">(continued) </w:t>
      </w:r>
      <w:r w:rsidRPr="008F1524">
        <w:rPr>
          <w:rFonts w:ascii="Arial" w:hAnsi="Arial" w:cs="Arial"/>
        </w:rPr>
        <w:t>such feeding devices transferred into the state may be registered at any time, provided they are registered within thirty days of their transfer into the state.  Notwithstanding paragraph (h) of subdivision twenty-two of this section, such feeding devices may be transferred provided that such transfer shall be subject to the provisions of section 400.03 of this chapter including the check required to be conducted pursuant to such section.”</w:t>
      </w:r>
    </w:p>
  </w:footnote>
  <w:footnote w:id="3">
    <w:p w14:paraId="0D668FDE" w14:textId="0A7C4C08" w:rsidR="006D4427" w:rsidRPr="008F1524" w:rsidRDefault="006D4427" w:rsidP="006D4427">
      <w:pPr>
        <w:spacing w:before="241" w:line="278" w:lineRule="exact"/>
        <w:jc w:val="both"/>
        <w:textAlignment w:val="baseline"/>
        <w:rPr>
          <w:rFonts w:ascii="Arial" w:hAnsi="Arial" w:cs="Arial"/>
        </w:rPr>
      </w:pPr>
      <w:r>
        <w:rPr>
          <w:rStyle w:val="FootnoteReference"/>
        </w:rPr>
        <w:footnoteRef/>
      </w:r>
      <w:r w:rsidR="006B7FC9">
        <w:t xml:space="preserve"> </w:t>
      </w:r>
      <w:r w:rsidR="00591BB4" w:rsidRPr="008F1524">
        <w:rPr>
          <w:rFonts w:ascii="Arial" w:eastAsia="Arial" w:hAnsi="Arial" w:cs="Arial"/>
          <w:i/>
          <w:iCs/>
          <w:color w:val="000000"/>
        </w:rPr>
        <w:t>See</w:t>
      </w:r>
      <w:r w:rsidR="00591BB4" w:rsidRPr="008F1524">
        <w:rPr>
          <w:rFonts w:ascii="Arial" w:eastAsia="Arial" w:hAnsi="Arial" w:cs="Arial"/>
          <w:color w:val="000000"/>
        </w:rPr>
        <w:t xml:space="preserve"> Penal Law </w:t>
      </w:r>
      <w:r w:rsidR="00BF4B13" w:rsidRPr="008F1524">
        <w:rPr>
          <w:rFonts w:ascii="Arial" w:eastAsia="Arial" w:hAnsi="Arial" w:cs="Arial"/>
          <w:color w:val="000000"/>
        </w:rPr>
        <w:t xml:space="preserve">§ 10.00(8). </w:t>
      </w:r>
      <w:r w:rsidR="00943A82" w:rsidRPr="008F1524">
        <w:rPr>
          <w:rFonts w:ascii="Arial" w:eastAsia="Arial" w:hAnsi="Arial" w:cs="Arial"/>
          <w:color w:val="000000"/>
        </w:rPr>
        <w:t xml:space="preserve"> </w:t>
      </w:r>
      <w:r w:rsidRPr="008F1524">
        <w:rPr>
          <w:rFonts w:ascii="Arial" w:eastAsia="Arial" w:hAnsi="Arial" w:cs="Arial"/>
          <w:color w:val="000000"/>
        </w:rPr>
        <w:t>Where constructive possession is alleged, or where the People rely on a statutory presumption of possession, insert the appropriate instruction from the "Additional Charges" section at the end of this article.</w:t>
      </w:r>
    </w:p>
    <w:p w14:paraId="19167E45" w14:textId="32A9E189" w:rsidR="006D4427" w:rsidRPr="008F1524" w:rsidRDefault="006D4427">
      <w:pPr>
        <w:pStyle w:val="FootnoteText"/>
        <w:rPr>
          <w:rFonts w:ascii="Arial" w:hAnsi="Arial" w:cs="Arial"/>
          <w:sz w:val="22"/>
          <w:szCs w:val="22"/>
        </w:rPr>
      </w:pPr>
    </w:p>
  </w:footnote>
  <w:footnote w:id="4">
    <w:p w14:paraId="6FDF4DD6" w14:textId="69331BB0" w:rsidR="00BA0060" w:rsidRPr="00BA0060" w:rsidRDefault="00C23E8B" w:rsidP="00BA0060">
      <w:pPr>
        <w:shd w:val="clear" w:color="auto" w:fill="FFFFFF"/>
        <w:jc w:val="both"/>
        <w:rPr>
          <w:rFonts w:ascii="Arial" w:eastAsia="Times New Roman" w:hAnsi="Arial" w:cs="Arial"/>
        </w:rPr>
      </w:pPr>
      <w:r w:rsidRPr="008F1524">
        <w:rPr>
          <w:rStyle w:val="FootnoteReference"/>
          <w:rFonts w:ascii="Arial" w:hAnsi="Arial" w:cs="Arial"/>
        </w:rPr>
        <w:footnoteRef/>
      </w:r>
      <w:r w:rsidRPr="008F1524">
        <w:rPr>
          <w:rFonts w:ascii="Arial" w:hAnsi="Arial" w:cs="Arial"/>
        </w:rPr>
        <w:t xml:space="preserve"> </w:t>
      </w:r>
      <w:r w:rsidRPr="008F1524">
        <w:rPr>
          <w:rFonts w:ascii="Arial" w:eastAsia="Arial" w:hAnsi="Arial" w:cs="Arial"/>
          <w:i/>
          <w:color w:val="000000"/>
          <w:spacing w:val="-4"/>
        </w:rPr>
        <w:t xml:space="preserve">See </w:t>
      </w:r>
      <w:r w:rsidRPr="008F1524">
        <w:rPr>
          <w:rFonts w:ascii="Arial" w:eastAsia="Arial" w:hAnsi="Arial" w:cs="Arial"/>
          <w:color w:val="000000"/>
          <w:spacing w:val="-4"/>
        </w:rPr>
        <w:t>Penal Law § 15</w:t>
      </w:r>
      <w:r w:rsidR="00AB59E2" w:rsidRPr="008F1524">
        <w:rPr>
          <w:rFonts w:ascii="Arial" w:eastAsia="Arial" w:hAnsi="Arial" w:cs="Arial"/>
          <w:color w:val="000000"/>
          <w:spacing w:val="-4"/>
        </w:rPr>
        <w:t>.</w:t>
      </w:r>
      <w:r w:rsidRPr="008F1524">
        <w:rPr>
          <w:rFonts w:ascii="Arial" w:eastAsia="Arial" w:hAnsi="Arial" w:cs="Arial"/>
          <w:color w:val="000000"/>
          <w:spacing w:val="-4"/>
        </w:rPr>
        <w:t>05(2).</w:t>
      </w:r>
      <w:r w:rsidR="00C023B3">
        <w:rPr>
          <w:rFonts w:ascii="Arial" w:eastAsia="Arial" w:hAnsi="Arial" w:cs="Arial"/>
          <w:color w:val="000000"/>
          <w:spacing w:val="-4"/>
        </w:rPr>
        <w:t xml:space="preserve">  </w:t>
      </w:r>
      <w:r w:rsidR="00BA0060" w:rsidRPr="00BA0060">
        <w:rPr>
          <w:rFonts w:ascii="Arial" w:eastAsia="Yu Gothic UI" w:hAnsi="Arial" w:cs="Arial"/>
        </w:rPr>
        <w:t xml:space="preserve">If necessary, an expanded definition of </w:t>
      </w:r>
      <w:r w:rsidR="00BA0060" w:rsidRPr="00BA0060">
        <w:rPr>
          <w:rFonts w:ascii="Arial" w:eastAsia="Yu Gothic UI" w:hAnsi="Arial" w:cs="Arial"/>
        </w:rPr>
        <w:sym w:font="WP TypographicSymbols" w:char="F041"/>
      </w:r>
      <w:r w:rsidR="00BA0060" w:rsidRPr="00BA0060">
        <w:rPr>
          <w:rFonts w:ascii="Arial" w:eastAsia="Yu Gothic UI" w:hAnsi="Arial" w:cs="Arial"/>
        </w:rPr>
        <w:t>knowingly</w:t>
      </w:r>
      <w:r w:rsidR="00BA0060" w:rsidRPr="00BA0060">
        <w:rPr>
          <w:rFonts w:ascii="Arial" w:eastAsia="Yu Gothic UI" w:hAnsi="Arial" w:cs="Arial"/>
        </w:rPr>
        <w:sym w:font="WP TypographicSymbols" w:char="F040"/>
      </w:r>
      <w:r w:rsidR="00BA0060" w:rsidRPr="00BA0060">
        <w:rPr>
          <w:rFonts w:ascii="Arial" w:eastAsia="Yu Gothic UI" w:hAnsi="Arial" w:cs="Arial"/>
        </w:rPr>
        <w:t xml:space="preserve"> is available in the section on Instructions of General Applicability under Culpable Mental States.</w:t>
      </w:r>
      <w:r w:rsidR="00D57F92">
        <w:rPr>
          <w:rFonts w:ascii="Arial" w:eastAsia="Yu Gothic UI" w:hAnsi="Arial" w:cs="Arial"/>
        </w:rPr>
        <w:t xml:space="preserve">  </w:t>
      </w:r>
    </w:p>
    <w:p w14:paraId="060DDCFE" w14:textId="64BA0865" w:rsidR="00C23E8B" w:rsidRDefault="00C23E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E3E52"/>
    <w:multiLevelType w:val="multilevel"/>
    <w:tmpl w:val="4788944E"/>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9973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A9"/>
    <w:rsid w:val="000705BC"/>
    <w:rsid w:val="00081CAE"/>
    <w:rsid w:val="000E1F20"/>
    <w:rsid w:val="000E47B6"/>
    <w:rsid w:val="000E4873"/>
    <w:rsid w:val="00125D64"/>
    <w:rsid w:val="00142785"/>
    <w:rsid w:val="00157530"/>
    <w:rsid w:val="0018409D"/>
    <w:rsid w:val="001B281F"/>
    <w:rsid w:val="001C40F2"/>
    <w:rsid w:val="001F7792"/>
    <w:rsid w:val="00225E27"/>
    <w:rsid w:val="002374F8"/>
    <w:rsid w:val="00261224"/>
    <w:rsid w:val="00261BE7"/>
    <w:rsid w:val="00271E0C"/>
    <w:rsid w:val="00275C12"/>
    <w:rsid w:val="002A3DDE"/>
    <w:rsid w:val="002D16FE"/>
    <w:rsid w:val="002D5C1E"/>
    <w:rsid w:val="002F1AE7"/>
    <w:rsid w:val="00316FC3"/>
    <w:rsid w:val="00327627"/>
    <w:rsid w:val="003317A8"/>
    <w:rsid w:val="003446E7"/>
    <w:rsid w:val="003855A4"/>
    <w:rsid w:val="003A11A6"/>
    <w:rsid w:val="003A2DE0"/>
    <w:rsid w:val="003C450D"/>
    <w:rsid w:val="003C7BEE"/>
    <w:rsid w:val="003D3817"/>
    <w:rsid w:val="003F3331"/>
    <w:rsid w:val="00407F8A"/>
    <w:rsid w:val="00407FB3"/>
    <w:rsid w:val="0041635A"/>
    <w:rsid w:val="004551F8"/>
    <w:rsid w:val="004661DD"/>
    <w:rsid w:val="00474904"/>
    <w:rsid w:val="0047618A"/>
    <w:rsid w:val="0048280B"/>
    <w:rsid w:val="00492906"/>
    <w:rsid w:val="004A4F84"/>
    <w:rsid w:val="004F0002"/>
    <w:rsid w:val="004F652F"/>
    <w:rsid w:val="00525CC8"/>
    <w:rsid w:val="005522A1"/>
    <w:rsid w:val="00577AAE"/>
    <w:rsid w:val="0059168E"/>
    <w:rsid w:val="00591BB4"/>
    <w:rsid w:val="005B06B0"/>
    <w:rsid w:val="005E16B9"/>
    <w:rsid w:val="005E2F1B"/>
    <w:rsid w:val="006175CB"/>
    <w:rsid w:val="00636C4C"/>
    <w:rsid w:val="0068492C"/>
    <w:rsid w:val="006B7FC9"/>
    <w:rsid w:val="006D2779"/>
    <w:rsid w:val="006D4427"/>
    <w:rsid w:val="006F0245"/>
    <w:rsid w:val="006F7DD0"/>
    <w:rsid w:val="00713366"/>
    <w:rsid w:val="007379C5"/>
    <w:rsid w:val="00744510"/>
    <w:rsid w:val="00745D92"/>
    <w:rsid w:val="0076330E"/>
    <w:rsid w:val="00791793"/>
    <w:rsid w:val="007A01A0"/>
    <w:rsid w:val="007B179E"/>
    <w:rsid w:val="007B1C97"/>
    <w:rsid w:val="007F4697"/>
    <w:rsid w:val="00823346"/>
    <w:rsid w:val="008702F6"/>
    <w:rsid w:val="00882DF8"/>
    <w:rsid w:val="00896896"/>
    <w:rsid w:val="008A3A81"/>
    <w:rsid w:val="008D17DB"/>
    <w:rsid w:val="008D55F4"/>
    <w:rsid w:val="008F1524"/>
    <w:rsid w:val="0093377E"/>
    <w:rsid w:val="009403F0"/>
    <w:rsid w:val="00943A82"/>
    <w:rsid w:val="00947BC8"/>
    <w:rsid w:val="009549CB"/>
    <w:rsid w:val="00956C08"/>
    <w:rsid w:val="00971D53"/>
    <w:rsid w:val="009823A6"/>
    <w:rsid w:val="009935D2"/>
    <w:rsid w:val="009A1D23"/>
    <w:rsid w:val="00A31AEC"/>
    <w:rsid w:val="00A6457E"/>
    <w:rsid w:val="00A8724A"/>
    <w:rsid w:val="00A90A66"/>
    <w:rsid w:val="00AA4E74"/>
    <w:rsid w:val="00AB59E2"/>
    <w:rsid w:val="00AC3402"/>
    <w:rsid w:val="00AD0E5A"/>
    <w:rsid w:val="00AE2083"/>
    <w:rsid w:val="00AF3930"/>
    <w:rsid w:val="00AF6032"/>
    <w:rsid w:val="00B162AF"/>
    <w:rsid w:val="00B352C1"/>
    <w:rsid w:val="00BA0060"/>
    <w:rsid w:val="00BA25DA"/>
    <w:rsid w:val="00BA4219"/>
    <w:rsid w:val="00BB6C84"/>
    <w:rsid w:val="00BC6730"/>
    <w:rsid w:val="00BF4B13"/>
    <w:rsid w:val="00C023B3"/>
    <w:rsid w:val="00C02773"/>
    <w:rsid w:val="00C059F1"/>
    <w:rsid w:val="00C11D5C"/>
    <w:rsid w:val="00C23BFC"/>
    <w:rsid w:val="00C23E8B"/>
    <w:rsid w:val="00C33239"/>
    <w:rsid w:val="00C41319"/>
    <w:rsid w:val="00C51B4C"/>
    <w:rsid w:val="00CD48B3"/>
    <w:rsid w:val="00CE7B01"/>
    <w:rsid w:val="00D23020"/>
    <w:rsid w:val="00D33430"/>
    <w:rsid w:val="00D512F2"/>
    <w:rsid w:val="00D57F92"/>
    <w:rsid w:val="00D603B0"/>
    <w:rsid w:val="00D664AD"/>
    <w:rsid w:val="00D72266"/>
    <w:rsid w:val="00D85D8C"/>
    <w:rsid w:val="00D85EEE"/>
    <w:rsid w:val="00DB73BB"/>
    <w:rsid w:val="00DC4AA8"/>
    <w:rsid w:val="00E26B56"/>
    <w:rsid w:val="00E42676"/>
    <w:rsid w:val="00E67ECE"/>
    <w:rsid w:val="00E70BEA"/>
    <w:rsid w:val="00E76B6F"/>
    <w:rsid w:val="00E90A18"/>
    <w:rsid w:val="00E94FB8"/>
    <w:rsid w:val="00EB66A6"/>
    <w:rsid w:val="00F20718"/>
    <w:rsid w:val="00F25758"/>
    <w:rsid w:val="00F36D1F"/>
    <w:rsid w:val="00F37DCB"/>
    <w:rsid w:val="00F43697"/>
    <w:rsid w:val="00F8209C"/>
    <w:rsid w:val="00F82166"/>
    <w:rsid w:val="00FA186A"/>
    <w:rsid w:val="00FB016E"/>
    <w:rsid w:val="00FC7DA9"/>
    <w:rsid w:val="00FD234E"/>
    <w:rsid w:val="00FF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B1F4A"/>
  <w15:docId w15:val="{9DE2A3C8-2506-4E53-928E-5571CAFE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330E"/>
    <w:rPr>
      <w:sz w:val="20"/>
      <w:szCs w:val="20"/>
    </w:rPr>
  </w:style>
  <w:style w:type="character" w:customStyle="1" w:styleId="FootnoteTextChar">
    <w:name w:val="Footnote Text Char"/>
    <w:basedOn w:val="DefaultParagraphFont"/>
    <w:link w:val="FootnoteText"/>
    <w:uiPriority w:val="99"/>
    <w:semiHidden/>
    <w:rsid w:val="0076330E"/>
    <w:rPr>
      <w:sz w:val="20"/>
      <w:szCs w:val="20"/>
    </w:rPr>
  </w:style>
  <w:style w:type="character" w:styleId="FootnoteReference">
    <w:name w:val="footnote reference"/>
    <w:basedOn w:val="DefaultParagraphFont"/>
    <w:uiPriority w:val="99"/>
    <w:semiHidden/>
    <w:unhideWhenUsed/>
    <w:rsid w:val="0076330E"/>
    <w:rPr>
      <w:vertAlign w:val="superscript"/>
    </w:rPr>
  </w:style>
  <w:style w:type="paragraph" w:styleId="Header">
    <w:name w:val="header"/>
    <w:basedOn w:val="Normal"/>
    <w:link w:val="HeaderChar"/>
    <w:uiPriority w:val="99"/>
    <w:unhideWhenUsed/>
    <w:rsid w:val="008F1524"/>
    <w:pPr>
      <w:tabs>
        <w:tab w:val="center" w:pos="4680"/>
        <w:tab w:val="right" w:pos="9360"/>
      </w:tabs>
    </w:pPr>
  </w:style>
  <w:style w:type="character" w:customStyle="1" w:styleId="HeaderChar">
    <w:name w:val="Header Char"/>
    <w:basedOn w:val="DefaultParagraphFont"/>
    <w:link w:val="Header"/>
    <w:uiPriority w:val="99"/>
    <w:rsid w:val="008F1524"/>
  </w:style>
  <w:style w:type="paragraph" w:styleId="Footer">
    <w:name w:val="footer"/>
    <w:basedOn w:val="Normal"/>
    <w:link w:val="FooterChar"/>
    <w:uiPriority w:val="99"/>
    <w:unhideWhenUsed/>
    <w:rsid w:val="008F1524"/>
    <w:pPr>
      <w:tabs>
        <w:tab w:val="center" w:pos="4680"/>
        <w:tab w:val="right" w:pos="9360"/>
      </w:tabs>
    </w:pPr>
  </w:style>
  <w:style w:type="character" w:customStyle="1" w:styleId="FooterChar">
    <w:name w:val="Footer Char"/>
    <w:basedOn w:val="DefaultParagraphFont"/>
    <w:link w:val="Footer"/>
    <w:uiPriority w:val="99"/>
    <w:rsid w:val="008F1524"/>
  </w:style>
  <w:style w:type="character" w:styleId="Hyperlink">
    <w:name w:val="Hyperlink"/>
    <w:basedOn w:val="DefaultParagraphFont"/>
    <w:uiPriority w:val="99"/>
    <w:unhideWhenUsed/>
    <w:rsid w:val="00C41319"/>
    <w:rPr>
      <w:color w:val="0563C1" w:themeColor="hyperlink"/>
      <w:u w:val="single"/>
    </w:rPr>
  </w:style>
  <w:style w:type="character" w:styleId="UnresolvedMention">
    <w:name w:val="Unresolved Mention"/>
    <w:basedOn w:val="DefaultParagraphFont"/>
    <w:uiPriority w:val="99"/>
    <w:semiHidden/>
    <w:unhideWhenUsed/>
    <w:rsid w:val="00C41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612535">
      <w:bodyDiv w:val="1"/>
      <w:marLeft w:val="0"/>
      <w:marRight w:val="0"/>
      <w:marTop w:val="0"/>
      <w:marBottom w:val="0"/>
      <w:divBdr>
        <w:top w:val="none" w:sz="0" w:space="0" w:color="auto"/>
        <w:left w:val="none" w:sz="0" w:space="0" w:color="auto"/>
        <w:bottom w:val="none" w:sz="0" w:space="0" w:color="auto"/>
        <w:right w:val="none" w:sz="0" w:space="0" w:color="auto"/>
      </w:divBdr>
    </w:div>
    <w:div w:id="208032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C0C6-064B-4657-B759-4EB877AC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277</Words>
  <Characters>1382</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Bill Donnino</cp:lastModifiedBy>
  <cp:revision>56</cp:revision>
  <cp:lastPrinted>2022-12-02T21:30:00Z</cp:lastPrinted>
  <dcterms:created xsi:type="dcterms:W3CDTF">2022-08-03T22:09:00Z</dcterms:created>
  <dcterms:modified xsi:type="dcterms:W3CDTF">2022-12-02T21:30:00Z</dcterms:modified>
</cp:coreProperties>
</file>