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A645" w14:textId="77777777" w:rsidR="00070180" w:rsidRDefault="00070180">
      <w:pPr>
        <w:kinsoku w:val="0"/>
        <w:overflowPunct w:val="0"/>
        <w:autoSpaceDE/>
        <w:autoSpaceDN/>
        <w:adjustRightInd/>
        <w:spacing w:before="2" w:line="331" w:lineRule="exact"/>
        <w:jc w:val="center"/>
        <w:textAlignment w:val="baseline"/>
        <w:rPr>
          <w:rFonts w:ascii="Arial" w:hAnsi="Arial"/>
          <w:b/>
          <w:sz w:val="17"/>
        </w:rPr>
      </w:pPr>
      <w:r>
        <w:rPr>
          <w:rFonts w:ascii="Arial" w:hAnsi="Arial"/>
          <w:b/>
          <w:sz w:val="28"/>
        </w:rPr>
        <w:t>CRIMINAL USE OF A FIREARM</w:t>
      </w:r>
      <w:r>
        <w:rPr>
          <w:rFonts w:ascii="Arial" w:hAnsi="Arial"/>
          <w:b/>
          <w:sz w:val="28"/>
        </w:rPr>
        <w:br/>
        <w:t>IN THE FIRST DEGREE</w:t>
      </w:r>
      <w:r>
        <w:rPr>
          <w:rFonts w:ascii="Arial" w:hAnsi="Arial"/>
          <w:b/>
          <w:sz w:val="28"/>
        </w:rPr>
        <w:br/>
        <w:t>(Possession of deadly weapon)</w:t>
      </w:r>
      <w:r>
        <w:rPr>
          <w:rFonts w:ascii="Arial" w:hAnsi="Arial"/>
          <w:b/>
          <w:sz w:val="28"/>
        </w:rPr>
        <w:br/>
        <w:t>Penal Law § 265.09 (1) (a)</w:t>
      </w:r>
      <w:r>
        <w:rPr>
          <w:rFonts w:ascii="Arial" w:hAnsi="Arial"/>
          <w:b/>
          <w:sz w:val="28"/>
        </w:rPr>
        <w:br/>
        <w:t>(Committed on or after Aug. 12, 1980)</w:t>
      </w:r>
      <w:r>
        <w:rPr>
          <w:rFonts w:ascii="Arial" w:hAnsi="Arial"/>
          <w:b/>
          <w:sz w:val="28"/>
        </w:rPr>
        <w:br/>
      </w:r>
      <w:r w:rsidRPr="00666B29">
        <w:rPr>
          <w:rFonts w:ascii="Arial" w:hAnsi="Arial"/>
          <w:bCs/>
          <w:sz w:val="22"/>
          <w:szCs w:val="22"/>
        </w:rPr>
        <w:t>(Revised July 2016)</w:t>
      </w:r>
      <w:r w:rsidRPr="00666B29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07DD9CCE" w14:textId="77777777" w:rsidR="00070180" w:rsidRDefault="00070180">
      <w:pPr>
        <w:kinsoku w:val="0"/>
        <w:overflowPunct w:val="0"/>
        <w:autoSpaceDE/>
        <w:autoSpaceDN/>
        <w:adjustRightInd/>
        <w:spacing w:before="329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Criminal Use of a Firearm in the First Degree.</w:t>
      </w:r>
    </w:p>
    <w:p w14:paraId="5BD5485A" w14:textId="4CCD8798" w:rsidR="00070180" w:rsidRDefault="00070180">
      <w:pPr>
        <w:kinsoku w:val="0"/>
        <w:overflowPunct w:val="0"/>
        <w:autoSpaceDE/>
        <w:autoSpaceDN/>
        <w:adjustRightInd/>
        <w:spacing w:before="328" w:line="323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 xml:space="preserve">Under our law, a person is guilty of Criminal Use of a Firearm in the First Degree when that person commits any Class B violent felony offense and </w:t>
      </w:r>
      <w:r w:rsidR="00666B29">
        <w:rPr>
          <w:rFonts w:ascii="Arial" w:hAnsi="Arial"/>
          <w:spacing w:val="-4"/>
          <w:sz w:val="28"/>
        </w:rPr>
        <w:t>that person</w:t>
      </w:r>
      <w:r>
        <w:rPr>
          <w:rFonts w:ascii="Arial" w:hAnsi="Arial"/>
          <w:spacing w:val="-4"/>
          <w:sz w:val="28"/>
        </w:rPr>
        <w:t xml:space="preserve"> knowingly</w:t>
      </w:r>
      <w:r>
        <w:rPr>
          <w:rFonts w:ascii="Arial" w:hAnsi="Arial"/>
          <w:spacing w:val="-4"/>
          <w:sz w:val="28"/>
          <w:vertAlign w:val="superscript"/>
        </w:rPr>
        <w:t>2</w:t>
      </w:r>
      <w:r>
        <w:rPr>
          <w:rFonts w:ascii="Arial" w:hAnsi="Arial"/>
          <w:spacing w:val="-4"/>
          <w:sz w:val="28"/>
        </w:rPr>
        <w:t xml:space="preserve"> possesses a deadly weapon, if the weapon is a loaded weapon from which a shot, readily capable of producing death or other serious physical</w:t>
      </w:r>
      <w:r>
        <w:rPr>
          <w:rFonts w:ascii="Arial" w:hAnsi="Arial"/>
          <w:spacing w:val="-4"/>
          <w:sz w:val="28"/>
          <w:vertAlign w:val="superscript"/>
        </w:rPr>
        <w:t>3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pacing w:val="-4"/>
          <w:sz w:val="28"/>
        </w:rPr>
        <w:t>injury may be discharged.</w:t>
      </w:r>
    </w:p>
    <w:p w14:paraId="20458368" w14:textId="77777777" w:rsidR="00070180" w:rsidRDefault="00070180">
      <w:pPr>
        <w:kinsoku w:val="0"/>
        <w:overflowPunct w:val="0"/>
        <w:autoSpaceDE/>
        <w:autoSpaceDN/>
        <w:adjustRightInd/>
        <w:spacing w:before="327" w:line="321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25CEF70A" w14:textId="77777777" w:rsidR="00070180" w:rsidRDefault="00070180">
      <w:pPr>
        <w:kinsoku w:val="0"/>
        <w:overflowPunct w:val="0"/>
        <w:autoSpaceDE/>
        <w:autoSpaceDN/>
        <w:adjustRightInd/>
        <w:spacing w:before="321" w:after="1446" w:line="327" w:lineRule="exact"/>
        <w:ind w:firstLine="720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A CLASS B VIOLENT FELONY OFFENSE includes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z w:val="28"/>
          <w:u w:val="single"/>
        </w:rPr>
        <w:t>name of felony or felonies and define)</w:t>
      </w:r>
      <w:r>
        <w:rPr>
          <w:rFonts w:ascii="Arial" w:hAnsi="Arial"/>
          <w:sz w:val="28"/>
        </w:rPr>
        <w:t>.</w:t>
      </w:r>
    </w:p>
    <w:p w14:paraId="25438A12" w14:textId="6740A102" w:rsidR="00531455" w:rsidRPr="00531455" w:rsidRDefault="00CC626A" w:rsidP="006D4E35">
      <w:pPr>
        <w:kinsoku w:val="0"/>
        <w:overflowPunct w:val="0"/>
        <w:autoSpaceDE/>
        <w:autoSpaceDN/>
        <w:adjustRightInd/>
        <w:spacing w:before="100" w:beforeAutospacing="1" w:line="276" w:lineRule="exact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56E493A" wp14:editId="483746CA">
                <wp:simplePos x="0" y="0"/>
                <wp:positionH relativeFrom="page">
                  <wp:posOffset>1371600</wp:posOffset>
                </wp:positionH>
                <wp:positionV relativeFrom="page">
                  <wp:posOffset>6400800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6C1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7in" to="252.0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J6sAEAAEkDAAAOAAAAZHJzL2Uyb0RvYy54bWysU8Fu2zAMvQ/YPwi6L3aytei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" o:allowincell="f" strokeweight=".95pt">
                <w10:wrap type="square" anchorx="page" anchory="page"/>
              </v:line>
            </w:pict>
          </mc:Fallback>
        </mc:AlternateContent>
      </w:r>
      <w:r w:rsidR="00070180">
        <w:rPr>
          <w:rFonts w:ascii="Arial" w:hAnsi="Arial"/>
          <w:sz w:val="14"/>
          <w:vertAlign w:val="superscript"/>
        </w:rPr>
        <w:t>1</w:t>
      </w:r>
      <w:r w:rsidR="00070180">
        <w:rPr>
          <w:rFonts w:ascii="Arial" w:hAnsi="Arial"/>
          <w:sz w:val="24"/>
        </w:rPr>
        <w:t xml:space="preserve"> </w:t>
      </w:r>
      <w:r w:rsidR="00070180" w:rsidRPr="00531455">
        <w:rPr>
          <w:rFonts w:ascii="Arial" w:hAnsi="Arial" w:cs="Arial"/>
          <w:sz w:val="22"/>
          <w:szCs w:val="22"/>
        </w:rPr>
        <w:t xml:space="preserve">In July 2016, in light of </w:t>
      </w:r>
      <w:bookmarkStart w:id="0" w:name="_Hlk70166841"/>
      <w:r w:rsidR="00070180" w:rsidRPr="00531455">
        <w:rPr>
          <w:rFonts w:ascii="Arial" w:hAnsi="Arial" w:cs="Arial"/>
          <w:i/>
          <w:sz w:val="22"/>
          <w:szCs w:val="22"/>
        </w:rPr>
        <w:t>People v Parrilla</w:t>
      </w:r>
      <w:r w:rsidR="00070180" w:rsidRPr="00531455">
        <w:rPr>
          <w:rFonts w:ascii="Arial" w:hAnsi="Arial" w:cs="Arial"/>
          <w:sz w:val="22"/>
          <w:szCs w:val="22"/>
        </w:rPr>
        <w:t xml:space="preserve">, </w:t>
      </w:r>
      <w:r w:rsidR="00EB0870" w:rsidRPr="00531455">
        <w:rPr>
          <w:rFonts w:ascii="Arial" w:hAnsi="Arial" w:cs="Arial"/>
          <w:sz w:val="22"/>
          <w:szCs w:val="22"/>
        </w:rPr>
        <w:t xml:space="preserve">27 NY3d 400 </w:t>
      </w:r>
      <w:r w:rsidR="00DC5E87" w:rsidRPr="00531455">
        <w:rPr>
          <w:rFonts w:ascii="Arial" w:hAnsi="Arial" w:cs="Arial"/>
          <w:sz w:val="22"/>
          <w:szCs w:val="22"/>
        </w:rPr>
        <w:t>[</w:t>
      </w:r>
      <w:r w:rsidR="00070180" w:rsidRPr="00531455">
        <w:rPr>
          <w:rFonts w:ascii="Arial" w:hAnsi="Arial" w:cs="Arial"/>
          <w:sz w:val="22"/>
          <w:szCs w:val="22"/>
        </w:rPr>
        <w:t>2016</w:t>
      </w:r>
      <w:r w:rsidR="00DC5E87" w:rsidRPr="00531455">
        <w:rPr>
          <w:rFonts w:ascii="Arial" w:hAnsi="Arial" w:cs="Arial"/>
          <w:sz w:val="22"/>
          <w:szCs w:val="22"/>
        </w:rPr>
        <w:t>]</w:t>
      </w:r>
      <w:r w:rsidR="00070180" w:rsidRPr="00531455">
        <w:rPr>
          <w:rFonts w:ascii="Arial" w:hAnsi="Arial" w:cs="Arial"/>
          <w:sz w:val="22"/>
          <w:szCs w:val="22"/>
        </w:rPr>
        <w:t xml:space="preserve">, </w:t>
      </w:r>
      <w:bookmarkEnd w:id="0"/>
      <w:r w:rsidR="00070180" w:rsidRPr="00531455">
        <w:rPr>
          <w:rFonts w:ascii="Arial" w:hAnsi="Arial" w:cs="Arial"/>
          <w:sz w:val="22"/>
          <w:szCs w:val="22"/>
        </w:rPr>
        <w:t>the charge was revised to better state the law with respect to the element of “knowingly.”</w:t>
      </w:r>
    </w:p>
    <w:p w14:paraId="1E7FBC44" w14:textId="77777777" w:rsidR="00531455" w:rsidRPr="00531455" w:rsidRDefault="00070180" w:rsidP="006D4E35">
      <w:pPr>
        <w:spacing w:before="100" w:beforeAutospacing="1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531455">
        <w:rPr>
          <w:rFonts w:ascii="Arial" w:hAnsi="Arial" w:cs="Arial"/>
          <w:spacing w:val="-3"/>
          <w:sz w:val="22"/>
          <w:szCs w:val="22"/>
          <w:vertAlign w:val="superscript"/>
        </w:rPr>
        <w:t>2</w:t>
      </w:r>
      <w:r w:rsidRPr="00531455">
        <w:rPr>
          <w:rFonts w:ascii="Arial" w:hAnsi="Arial" w:cs="Arial"/>
          <w:spacing w:val="-3"/>
          <w:sz w:val="22"/>
          <w:szCs w:val="22"/>
        </w:rPr>
        <w:t xml:space="preserve"> </w:t>
      </w:r>
      <w:r w:rsidR="00531455" w:rsidRPr="00531455">
        <w:rPr>
          <w:rFonts w:ascii="Arial" w:hAnsi="Arial" w:cs="Arial"/>
          <w:spacing w:val="-2"/>
          <w:sz w:val="22"/>
          <w:szCs w:val="22"/>
        </w:rPr>
        <w:t>The word "knowingly" has been added to this definition to comport with statutory law (</w:t>
      </w:r>
      <w:r w:rsidR="00531455" w:rsidRPr="00531455">
        <w:rPr>
          <w:rFonts w:ascii="Arial" w:hAnsi="Arial" w:cs="Arial"/>
          <w:i/>
          <w:spacing w:val="-2"/>
          <w:sz w:val="22"/>
          <w:szCs w:val="22"/>
        </w:rPr>
        <w:t xml:space="preserve">see </w:t>
      </w:r>
      <w:r w:rsidR="00531455" w:rsidRPr="00531455">
        <w:rPr>
          <w:rFonts w:ascii="Arial" w:hAnsi="Arial" w:cs="Arial"/>
          <w:spacing w:val="-2"/>
          <w:sz w:val="22"/>
          <w:szCs w:val="22"/>
        </w:rPr>
        <w:t xml:space="preserve">Penal Law § § 15.00(2) and 15.05 [2]) and with case law.   </w:t>
      </w:r>
      <w:r w:rsidR="00531455" w:rsidRPr="00531455">
        <w:rPr>
          <w:rFonts w:ascii="Arial" w:hAnsi="Arial" w:cs="Arial"/>
          <w:i/>
          <w:iCs/>
          <w:spacing w:val="-2"/>
          <w:sz w:val="22"/>
          <w:szCs w:val="22"/>
        </w:rPr>
        <w:t>People v Persce</w:t>
      </w:r>
      <w:r w:rsidR="00531455" w:rsidRPr="00531455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531455" w:rsidRPr="00531455">
        <w:rPr>
          <w:rFonts w:ascii="Arial" w:hAnsi="Arial" w:cs="Arial"/>
          <w:iCs/>
          <w:spacing w:val="-2"/>
          <w:sz w:val="22"/>
          <w:szCs w:val="22"/>
        </w:rPr>
        <w:t xml:space="preserve">204 NY 397, 402 (1912) ("the possession [of a slungshot] which is meant is a knowing and voluntary one"); </w:t>
      </w:r>
      <w:r w:rsidR="00531455" w:rsidRPr="00531455">
        <w:rPr>
          <w:rFonts w:ascii="Arial" w:hAnsi="Arial" w:cs="Arial"/>
          <w:i/>
          <w:iCs/>
          <w:spacing w:val="-2"/>
          <w:sz w:val="22"/>
          <w:szCs w:val="22"/>
        </w:rPr>
        <w:t>People v Saunders</w:t>
      </w:r>
      <w:r w:rsidR="00531455" w:rsidRPr="00531455">
        <w:rPr>
          <w:rFonts w:ascii="Arial" w:hAnsi="Arial" w:cs="Arial"/>
          <w:i/>
          <w:spacing w:val="-2"/>
          <w:sz w:val="22"/>
          <w:szCs w:val="22"/>
        </w:rPr>
        <w:t xml:space="preserve">, </w:t>
      </w:r>
      <w:r w:rsidR="00531455" w:rsidRPr="00531455">
        <w:rPr>
          <w:rFonts w:ascii="Arial" w:hAnsi="Arial" w:cs="Arial"/>
          <w:iCs/>
          <w:spacing w:val="-2"/>
          <w:sz w:val="22"/>
          <w:szCs w:val="22"/>
        </w:rPr>
        <w:t xml:space="preserve">85 NY2d 339, 341-42 (1995) ("’Possession,’ as part of the forbidden act, includes the Penal Law definitional component of ‘[v]oluntary act,’ which incorporates the attribute of awareness of the possession or control . . . .  Thus, the corpus delicti of weapons possession . . . is the voluntary, aware act of the possession of a weapon"); </w:t>
      </w:r>
      <w:r w:rsidR="00531455" w:rsidRPr="00531455">
        <w:rPr>
          <w:rFonts w:ascii="Arial" w:hAnsi="Arial" w:cs="Arial"/>
          <w:i/>
          <w:spacing w:val="-2"/>
          <w:sz w:val="22"/>
          <w:szCs w:val="22"/>
        </w:rPr>
        <w:t xml:space="preserve">People v Ford, </w:t>
      </w:r>
      <w:r w:rsidR="00531455" w:rsidRPr="00531455">
        <w:rPr>
          <w:rFonts w:ascii="Arial" w:hAnsi="Arial" w:cs="Arial"/>
          <w:spacing w:val="-2"/>
          <w:sz w:val="22"/>
          <w:szCs w:val="22"/>
        </w:rPr>
        <w:t>66 NY2d 428, 440 (1985) (the offense of possession of a loaded firearm requires that the possession be knowing).</w:t>
      </w:r>
    </w:p>
    <w:p w14:paraId="0B706A89" w14:textId="25663AAC" w:rsidR="00070180" w:rsidRPr="00531455" w:rsidRDefault="00070180" w:rsidP="006D4E35">
      <w:pPr>
        <w:kinsoku w:val="0"/>
        <w:overflowPunct w:val="0"/>
        <w:autoSpaceDE/>
        <w:autoSpaceDN/>
        <w:adjustRightInd/>
        <w:spacing w:before="100" w:beforeAutospacing="1" w:line="277" w:lineRule="exact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531455">
        <w:rPr>
          <w:rFonts w:ascii="Arial" w:hAnsi="Arial" w:cs="Arial"/>
          <w:sz w:val="22"/>
          <w:szCs w:val="22"/>
          <w:vertAlign w:val="superscript"/>
        </w:rPr>
        <w:t>3</w:t>
      </w:r>
      <w:r w:rsidRPr="00531455">
        <w:rPr>
          <w:rFonts w:ascii="Arial" w:hAnsi="Arial" w:cs="Arial"/>
          <w:sz w:val="22"/>
          <w:szCs w:val="22"/>
        </w:rPr>
        <w:t xml:space="preserve"> "Deadly weapon" is defined in Penal Law § 10.00 (12). A portion of that definition is expressly incorporated in this section; except, that the instant statute refers to “serious injury,” while the definition refers to "serious physical injury," the term used in this charge.</w:t>
      </w:r>
    </w:p>
    <w:p w14:paraId="72B3B2C1" w14:textId="77777777" w:rsidR="00070180" w:rsidRDefault="00070180">
      <w:pPr>
        <w:widowControl/>
        <w:rPr>
          <w:sz w:val="24"/>
        </w:rPr>
        <w:sectPr w:rsidR="00070180">
          <w:pgSz w:w="12240" w:h="15840"/>
          <w:pgMar w:top="1440" w:right="2120" w:bottom="1024" w:left="2160" w:header="720" w:footer="0" w:gutter="0"/>
          <w:cols w:space="720"/>
          <w:noEndnote/>
        </w:sectPr>
      </w:pPr>
    </w:p>
    <w:p w14:paraId="72DD7DA9" w14:textId="77777777" w:rsidR="00070180" w:rsidRDefault="00070180">
      <w:pPr>
        <w:kinsoku w:val="0"/>
        <w:overflowPunct w:val="0"/>
        <w:autoSpaceDE/>
        <w:autoSpaceDN/>
        <w:adjustRightInd/>
        <w:spacing w:before="1" w:line="324" w:lineRule="exact"/>
        <w:ind w:firstLine="720"/>
        <w:jc w:val="both"/>
        <w:textAlignment w:val="baseline"/>
        <w:rPr>
          <w:rFonts w:ascii="Arial" w:hAnsi="Arial"/>
          <w:spacing w:val="-3"/>
          <w:sz w:val="17"/>
        </w:rPr>
      </w:pPr>
      <w:r>
        <w:rPr>
          <w:rFonts w:ascii="Arial" w:hAnsi="Arial"/>
          <w:spacing w:val="-3"/>
          <w:sz w:val="28"/>
        </w:rPr>
        <w:lastRenderedPageBreak/>
        <w:t>POSSESS means to have physical possession or otherwise to exercise dominion or control over tangible property.</w:t>
      </w:r>
      <w:r>
        <w:rPr>
          <w:rFonts w:ascii="Arial" w:hAnsi="Arial"/>
          <w:spacing w:val="-3"/>
          <w:sz w:val="28"/>
          <w:vertAlign w:val="superscript"/>
        </w:rPr>
        <w:t>4</w:t>
      </w:r>
    </w:p>
    <w:p w14:paraId="362ABDCC" w14:textId="77777777" w:rsidR="00070180" w:rsidRDefault="00070180">
      <w:pPr>
        <w:kinsoku w:val="0"/>
        <w:overflowPunct w:val="0"/>
        <w:autoSpaceDE/>
        <w:autoSpaceDN/>
        <w:adjustRightInd/>
        <w:spacing w:before="342" w:line="316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A person KNOWINGLY possesses a deadly weapon when that person is aware that he or she is in possession of a deadly weapon.</w:t>
      </w:r>
      <w:r>
        <w:rPr>
          <w:rFonts w:ascii="Arial" w:hAnsi="Arial"/>
          <w:sz w:val="28"/>
          <w:vertAlign w:val="superscript"/>
        </w:rPr>
        <w:t>5</w:t>
      </w:r>
    </w:p>
    <w:p w14:paraId="20C00943" w14:textId="2D3DE558" w:rsidR="00070180" w:rsidRDefault="00070180">
      <w:pPr>
        <w:kinsoku w:val="0"/>
        <w:overflowPunct w:val="0"/>
        <w:autoSpaceDE/>
        <w:autoSpaceDN/>
        <w:adjustRightInd/>
        <w:spacing w:before="315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Under this count, the deadly weapon must be loaded and capable of discharging a shot, readily capable of producing death or other serious physical injury</w:t>
      </w:r>
      <w:r w:rsidR="00CC262E">
        <w:rPr>
          <w:rFonts w:ascii="Arial" w:hAnsi="Arial"/>
          <w:sz w:val="28"/>
        </w:rPr>
        <w:t>.  A person in possession of a deadly weapon</w:t>
      </w:r>
      <w:r>
        <w:rPr>
          <w:rFonts w:ascii="Arial" w:hAnsi="Arial"/>
          <w:sz w:val="28"/>
        </w:rPr>
        <w:t xml:space="preserve"> is not required to know that it was loaded or that it was capable of discharging a shot.</w:t>
      </w:r>
      <w:r>
        <w:rPr>
          <w:rFonts w:ascii="Arial" w:hAnsi="Arial"/>
          <w:sz w:val="28"/>
          <w:vertAlign w:val="superscript"/>
        </w:rPr>
        <w:t>6</w:t>
      </w:r>
    </w:p>
    <w:p w14:paraId="02301421" w14:textId="77777777" w:rsidR="00070180" w:rsidRDefault="00070180">
      <w:pPr>
        <w:kinsoku w:val="0"/>
        <w:overflowPunct w:val="0"/>
        <w:autoSpaceDE/>
        <w:autoSpaceDN/>
        <w:adjustRightInd/>
        <w:spacing w:before="339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/>
          <w:sz w:val="28"/>
          <w:vertAlign w:val="superscript"/>
        </w:rPr>
        <w:t>7</w:t>
      </w:r>
    </w:p>
    <w:p w14:paraId="0980DFBA" w14:textId="77777777" w:rsidR="00070180" w:rsidRDefault="00070180">
      <w:pPr>
        <w:kinsoku w:val="0"/>
        <w:overflowPunct w:val="0"/>
        <w:autoSpaceDE/>
        <w:autoSpaceDN/>
        <w:adjustRightInd/>
        <w:spacing w:before="327" w:after="500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for you to find the defendant guilty of this crime, the People are required to prove, from all of the evidence in the case, beyond a reasonable doubt, the following element:</w:t>
      </w:r>
    </w:p>
    <w:p w14:paraId="0B9412C2" w14:textId="77777777" w:rsidR="00F25B71" w:rsidRDefault="00CC626A" w:rsidP="00F25B71">
      <w:pPr>
        <w:kinsoku w:val="0"/>
        <w:overflowPunct w:val="0"/>
        <w:autoSpaceDE/>
        <w:autoSpaceDN/>
        <w:adjustRightInd/>
        <w:spacing w:before="256" w:line="277" w:lineRule="exact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82B6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2FC1BC0" wp14:editId="792C93CB">
                <wp:simplePos x="0" y="0"/>
                <wp:positionH relativeFrom="page">
                  <wp:posOffset>1365250</wp:posOffset>
                </wp:positionH>
                <wp:positionV relativeFrom="page">
                  <wp:posOffset>5769610</wp:posOffset>
                </wp:positionV>
                <wp:extent cx="183578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3071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454.3pt" to="252.0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" o:allowincell="f" strokeweight="1.2pt">
                <w10:wrap type="square" anchorx="page" anchory="page"/>
              </v:line>
            </w:pict>
          </mc:Fallback>
        </mc:AlternateContent>
      </w:r>
      <w:r w:rsidR="00070180" w:rsidRPr="00482B65">
        <w:rPr>
          <w:rFonts w:ascii="Arial" w:hAnsi="Arial" w:cs="Arial"/>
          <w:sz w:val="22"/>
          <w:szCs w:val="22"/>
          <w:vertAlign w:val="superscript"/>
        </w:rPr>
        <w:t>4</w:t>
      </w:r>
      <w:r w:rsidR="00070180" w:rsidRPr="00482B65">
        <w:rPr>
          <w:rFonts w:ascii="Arial" w:hAnsi="Arial" w:cs="Arial"/>
          <w:sz w:val="22"/>
          <w:szCs w:val="22"/>
        </w:rPr>
        <w:t xml:space="preserve"> Penal Law § 10.00 (8). Where constructive possession is alleged, or where the People rely on a statutory presumption of possession, insert the appropriate instruction as found in the "Additional Charges" section at the end of this article.</w:t>
      </w:r>
    </w:p>
    <w:p w14:paraId="34DEBDA3" w14:textId="1A10A4EF" w:rsidR="00F90C3B" w:rsidRDefault="00070180" w:rsidP="00F25B71">
      <w:pPr>
        <w:kinsoku w:val="0"/>
        <w:overflowPunct w:val="0"/>
        <w:autoSpaceDE/>
        <w:autoSpaceDN/>
        <w:adjustRightInd/>
        <w:spacing w:before="256" w:line="277" w:lineRule="exact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482B65">
        <w:rPr>
          <w:rFonts w:ascii="Arial" w:hAnsi="Arial" w:cs="Arial"/>
          <w:sz w:val="22"/>
          <w:szCs w:val="22"/>
          <w:vertAlign w:val="superscript"/>
        </w:rPr>
        <w:t>5</w:t>
      </w:r>
      <w:r w:rsidRPr="00482B65">
        <w:rPr>
          <w:rFonts w:ascii="Arial" w:hAnsi="Arial" w:cs="Arial"/>
          <w:i/>
          <w:sz w:val="22"/>
          <w:szCs w:val="22"/>
        </w:rPr>
        <w:t xml:space="preserve"> See </w:t>
      </w:r>
      <w:r w:rsidRPr="00482B65">
        <w:rPr>
          <w:rFonts w:ascii="Arial" w:hAnsi="Arial" w:cs="Arial"/>
          <w:sz w:val="22"/>
          <w:szCs w:val="22"/>
        </w:rPr>
        <w:t>Penal Law § 15.05 (2). For an expanded charge on the definition of "knowingly," see Instructions of General Applicability, Culpable Mental States, Knowingly.</w:t>
      </w:r>
    </w:p>
    <w:p w14:paraId="04CCCB54" w14:textId="77777777" w:rsidR="00F25B71" w:rsidRDefault="00070180" w:rsidP="00F25B71">
      <w:pPr>
        <w:ind w:firstLine="720"/>
        <w:jc w:val="both"/>
        <w:rPr>
          <w:rFonts w:ascii="Arial" w:eastAsia="Yu Gothic UI" w:hAnsi="Arial" w:cs="Arial"/>
          <w:sz w:val="22"/>
          <w:szCs w:val="22"/>
        </w:rPr>
      </w:pPr>
      <w:r w:rsidRPr="00482B65">
        <w:rPr>
          <w:rFonts w:ascii="Arial" w:hAnsi="Arial" w:cs="Arial"/>
          <w:spacing w:val="-2"/>
          <w:sz w:val="22"/>
          <w:szCs w:val="22"/>
          <w:vertAlign w:val="superscript"/>
        </w:rPr>
        <w:t>6</w:t>
      </w:r>
      <w:r w:rsidRPr="00482B65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DC442A" w:rsidRPr="008A3AAB">
        <w:rPr>
          <w:rFonts w:ascii="Arial" w:hAnsi="Arial" w:cs="Arial"/>
          <w:sz w:val="22"/>
          <w:szCs w:val="22"/>
        </w:rPr>
        <w:t>Case law has added "operability" of a firearm as an element of the crime (</w:t>
      </w:r>
      <w:r w:rsidR="00DC442A" w:rsidRPr="008A3AAB">
        <w:rPr>
          <w:rFonts w:ascii="Arial" w:hAnsi="Arial" w:cs="Arial"/>
          <w:i/>
          <w:sz w:val="22"/>
          <w:szCs w:val="22"/>
        </w:rPr>
        <w:t xml:space="preserve">see People v Longshore, </w:t>
      </w:r>
      <w:r w:rsidR="00DC442A" w:rsidRPr="008A3AAB">
        <w:rPr>
          <w:rFonts w:ascii="Arial" w:hAnsi="Arial" w:cs="Arial"/>
          <w:sz w:val="22"/>
          <w:szCs w:val="22"/>
        </w:rPr>
        <w:t xml:space="preserve">86 NY2d 851, 852 [1995]), but has further held that there is no requirement that the possessor know the firearm was operable </w:t>
      </w:r>
      <w:r w:rsidR="00DC442A" w:rsidRPr="008A3AAB">
        <w:rPr>
          <w:rFonts w:ascii="Arial" w:hAnsi="Arial" w:cs="Arial"/>
          <w:i/>
          <w:sz w:val="22"/>
          <w:szCs w:val="22"/>
        </w:rPr>
        <w:t>(see People v Parrilla</w:t>
      </w:r>
      <w:r w:rsidR="00DC442A" w:rsidRPr="008A3AAB">
        <w:rPr>
          <w:rFonts w:ascii="Arial" w:hAnsi="Arial" w:cs="Arial"/>
          <w:sz w:val="22"/>
          <w:szCs w:val="22"/>
        </w:rPr>
        <w:t xml:space="preserve">, 27 NY3d 400 [2016] ["Defendants need only knowingly possess a firearm, they need not know that the firearm was loaded or operable"]; </w:t>
      </w:r>
      <w:r w:rsidR="00DC442A" w:rsidRPr="008A3AAB">
        <w:rPr>
          <w:rFonts w:ascii="Arial" w:hAnsi="Arial" w:cs="Arial"/>
          <w:i/>
          <w:sz w:val="22"/>
          <w:szCs w:val="22"/>
        </w:rPr>
        <w:t xml:space="preserve">People v Saunders, </w:t>
      </w:r>
      <w:r w:rsidR="00DC442A" w:rsidRPr="008A3AAB">
        <w:rPr>
          <w:rFonts w:ascii="Arial" w:hAnsi="Arial" w:cs="Arial"/>
          <w:sz w:val="22"/>
          <w:szCs w:val="22"/>
        </w:rPr>
        <w:t xml:space="preserve">85 NY2d 339, 341-342 [1995]; </w:t>
      </w:r>
      <w:r w:rsidR="00DC442A" w:rsidRPr="008A3AAB">
        <w:rPr>
          <w:rFonts w:ascii="Arial" w:hAnsi="Arial" w:cs="Arial"/>
          <w:i/>
          <w:sz w:val="22"/>
          <w:szCs w:val="22"/>
        </w:rPr>
        <w:t xml:space="preserve">People v Ansare, </w:t>
      </w:r>
      <w:r w:rsidR="00DC442A" w:rsidRPr="008A3AAB">
        <w:rPr>
          <w:rFonts w:ascii="Arial" w:hAnsi="Arial" w:cs="Arial"/>
          <w:sz w:val="22"/>
          <w:szCs w:val="22"/>
        </w:rPr>
        <w:t>96 AD2d 96, 97 [4th Dept 1983]).</w:t>
      </w:r>
      <w:r w:rsidR="00B303C3">
        <w:rPr>
          <w:rFonts w:ascii="Arial" w:hAnsi="Arial" w:cs="Arial"/>
          <w:sz w:val="22"/>
          <w:szCs w:val="22"/>
        </w:rPr>
        <w:t xml:space="preserve">  </w:t>
      </w:r>
      <w:r w:rsidR="00B303C3">
        <w:rPr>
          <w:rFonts w:ascii="Arial" w:hAnsi="Arial" w:cs="Arial"/>
          <w:sz w:val="22"/>
          <w:szCs w:val="22"/>
        </w:rPr>
        <w:t xml:space="preserve">In December 2022, the last sentence was substituted for: “The defendant </w:t>
      </w:r>
      <w:r w:rsidR="00B303C3" w:rsidRPr="0037528E">
        <w:rPr>
          <w:rFonts w:ascii="Arial" w:eastAsia="Yu Gothic UI" w:hAnsi="Arial" w:cs="Arial"/>
          <w:sz w:val="22"/>
          <w:szCs w:val="22"/>
        </w:rPr>
        <w:t>is not required to know that it was loaded or that it was capable of discharging a shot</w:t>
      </w:r>
      <w:r w:rsidR="00B303C3">
        <w:rPr>
          <w:rFonts w:ascii="Arial" w:eastAsia="Yu Gothic UI" w:hAnsi="Arial" w:cs="Arial"/>
          <w:sz w:val="22"/>
          <w:szCs w:val="22"/>
        </w:rPr>
        <w:t>.</w:t>
      </w:r>
    </w:p>
    <w:p w14:paraId="25DCF71A" w14:textId="70A854DE" w:rsidR="00070180" w:rsidRPr="00482B65" w:rsidRDefault="00070180" w:rsidP="00F25B7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82B65">
        <w:rPr>
          <w:rFonts w:ascii="Arial" w:hAnsi="Arial" w:cs="Arial"/>
          <w:sz w:val="22"/>
          <w:szCs w:val="22"/>
          <w:vertAlign w:val="superscript"/>
        </w:rPr>
        <w:t>7</w:t>
      </w:r>
      <w:r w:rsidRPr="00482B65">
        <w:rPr>
          <w:rFonts w:ascii="Arial" w:hAnsi="Arial" w:cs="Arial"/>
          <w:sz w:val="22"/>
          <w:szCs w:val="22"/>
        </w:rPr>
        <w:t xml:space="preserve"> Penal Law § 10.00 (10).</w:t>
      </w:r>
    </w:p>
    <w:p w14:paraId="290063BC" w14:textId="77777777" w:rsidR="00070180" w:rsidRDefault="00070180">
      <w:pPr>
        <w:widowControl/>
        <w:rPr>
          <w:sz w:val="24"/>
        </w:rPr>
        <w:sectPr w:rsidR="00070180">
          <w:footerReference w:type="default" r:id="rId6"/>
          <w:pgSz w:w="12240" w:h="15840"/>
          <w:pgMar w:top="1440" w:right="2130" w:bottom="1259" w:left="2150" w:header="720" w:footer="1478" w:gutter="0"/>
          <w:cols w:space="720"/>
          <w:noEndnote/>
        </w:sectPr>
      </w:pPr>
    </w:p>
    <w:p w14:paraId="0EFEDB1F" w14:textId="77777777" w:rsidR="00070180" w:rsidRDefault="00070180">
      <w:pPr>
        <w:kinsoku w:val="0"/>
        <w:overflowPunct w:val="0"/>
        <w:autoSpaceDE/>
        <w:autoSpaceDN/>
        <w:adjustRightInd/>
        <w:spacing w:before="19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That on or about </w:t>
      </w:r>
      <w:r>
        <w:rPr>
          <w:rFonts w:ascii="Arial" w:hAnsi="Arial"/>
          <w:sz w:val="28"/>
          <w:u w:val="single"/>
        </w:rPr>
        <w:t xml:space="preserve"> (</w:t>
      </w:r>
      <w:r>
        <w:rPr>
          <w:rFonts w:ascii="Arial" w:hAnsi="Arial"/>
          <w:i/>
          <w:sz w:val="28"/>
          <w:u w:val="single"/>
        </w:rPr>
        <w:t>date</w:t>
      </w:r>
      <w:r>
        <w:rPr>
          <w:rFonts w:ascii="Arial" w:hAnsi="Arial"/>
          <w:sz w:val="28"/>
          <w:u w:val="single"/>
        </w:rPr>
        <w:t xml:space="preserve">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sz w:val="28"/>
          <w:u w:val="single"/>
        </w:rPr>
        <w:t>(</w:t>
      </w:r>
      <w:r>
        <w:rPr>
          <w:rFonts w:ascii="Arial" w:hAnsi="Arial"/>
          <w:i/>
          <w:sz w:val="28"/>
          <w:u w:val="single"/>
        </w:rPr>
        <w:t>County</w:t>
      </w:r>
      <w:r>
        <w:rPr>
          <w:rFonts w:ascii="Arial" w:hAnsi="Arial"/>
          <w:sz w:val="28"/>
          <w:u w:val="single"/>
        </w:rPr>
        <w:t>)</w:t>
      </w:r>
      <w:r>
        <w:rPr>
          <w:rFonts w:ascii="Arial" w:hAnsi="Arial"/>
          <w:sz w:val="28"/>
        </w:rPr>
        <w:t xml:space="preserve">, the defendant, </w:t>
      </w:r>
      <w:r>
        <w:rPr>
          <w:rFonts w:ascii="Arial" w:hAnsi="Arial"/>
          <w:sz w:val="28"/>
          <w:u w:val="single"/>
        </w:rPr>
        <w:t xml:space="preserve"> (</w:t>
      </w:r>
      <w:r>
        <w:rPr>
          <w:rFonts w:ascii="Arial" w:hAnsi="Arial"/>
          <w:i/>
          <w:sz w:val="28"/>
          <w:u w:val="single"/>
        </w:rPr>
        <w:t>defendant's name</w:t>
      </w:r>
      <w:r>
        <w:rPr>
          <w:rFonts w:ascii="Arial" w:hAnsi="Arial"/>
          <w:sz w:val="28"/>
          <w:u w:val="single"/>
        </w:rPr>
        <w:t>),</w:t>
      </w:r>
      <w:r>
        <w:rPr>
          <w:rFonts w:ascii="Arial" w:hAnsi="Arial"/>
          <w:sz w:val="28"/>
        </w:rPr>
        <w:t xml:space="preserve"> committed any Class B violent felony offense and knowingly possessed a deadly weapon that was a loaded weapon from which a shot, readily capable of producing death or other serious physical injury may be discharged.</w:t>
      </w:r>
    </w:p>
    <w:p w14:paraId="6228F419" w14:textId="77777777" w:rsidR="00070180" w:rsidRDefault="00070180">
      <w:pPr>
        <w:kinsoku w:val="0"/>
        <w:overflowPunct w:val="0"/>
        <w:autoSpaceDE/>
        <w:autoSpaceDN/>
        <w:adjustRightInd/>
        <w:spacing w:before="319" w:line="325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If you find the People have proven that element beyond a reasonable doubt, you must find the defendant guilty of this crime.</w:t>
      </w:r>
    </w:p>
    <w:p w14:paraId="582959FE" w14:textId="77777777" w:rsidR="00070180" w:rsidRDefault="00070180">
      <w:pPr>
        <w:kinsoku w:val="0"/>
        <w:overflowPunct w:val="0"/>
        <w:autoSpaceDE/>
        <w:autoSpaceDN/>
        <w:adjustRightInd/>
        <w:spacing w:before="326" w:line="32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that element beyond a reasonable doubt, you must find the defendant not guilty of this crime.</w:t>
      </w:r>
    </w:p>
    <w:sectPr w:rsidR="00070180" w:rsidSect="00070180">
      <w:pgSz w:w="12240" w:h="15840"/>
      <w:pgMar w:top="1420" w:right="2130" w:bottom="1268" w:left="2150" w:header="720" w:footer="14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FC29" w14:textId="77777777" w:rsidR="0014090C" w:rsidRDefault="0014090C" w:rsidP="00070180">
      <w:r>
        <w:separator/>
      </w:r>
    </w:p>
  </w:endnote>
  <w:endnote w:type="continuationSeparator" w:id="0">
    <w:p w14:paraId="27208359" w14:textId="77777777" w:rsidR="0014090C" w:rsidRDefault="0014090C" w:rsidP="0007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A72" w14:textId="77777777" w:rsidR="00070180" w:rsidRDefault="00070180">
    <w:pPr>
      <w:keepNext/>
      <w:keepLines/>
      <w:tabs>
        <w:tab w:val="left" w:pos="3845"/>
      </w:tabs>
      <w:kinsoku w:val="0"/>
      <w:overflowPunct w:val="0"/>
      <w:autoSpaceDE/>
      <w:autoSpaceDN/>
      <w:adjustRightInd/>
      <w:spacing w:line="229" w:lineRule="exact"/>
      <w:textAlignment w:val="baseline"/>
      <w:rPr>
        <w:rFonts w:ascii="Arial" w:hAnsi="Arial"/>
      </w:rPr>
    </w:pPr>
    <w:r>
      <w:rPr>
        <w:sz w:val="24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5C4E" w14:textId="77777777" w:rsidR="0014090C" w:rsidRDefault="0014090C" w:rsidP="00070180">
      <w:r>
        <w:separator/>
      </w:r>
    </w:p>
  </w:footnote>
  <w:footnote w:type="continuationSeparator" w:id="0">
    <w:p w14:paraId="5702A676" w14:textId="77777777" w:rsidR="0014090C" w:rsidRDefault="0014090C" w:rsidP="0007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80"/>
    <w:rsid w:val="00070180"/>
    <w:rsid w:val="0014090C"/>
    <w:rsid w:val="00456EAF"/>
    <w:rsid w:val="00457710"/>
    <w:rsid w:val="00482B65"/>
    <w:rsid w:val="00531455"/>
    <w:rsid w:val="00666B29"/>
    <w:rsid w:val="006D4E35"/>
    <w:rsid w:val="0099498E"/>
    <w:rsid w:val="00B303C3"/>
    <w:rsid w:val="00CC262E"/>
    <w:rsid w:val="00CC626A"/>
    <w:rsid w:val="00DC442A"/>
    <w:rsid w:val="00DC5E87"/>
    <w:rsid w:val="00EB0870"/>
    <w:rsid w:val="00F25B71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A433"/>
  <w14:defaultImageDpi w14:val="0"/>
  <w15:docId w15:val="{6541E82B-9954-48F7-BC95-EBDCC08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3785</Characters>
  <Application>Microsoft Office Word</Application>
  <DocSecurity>0</DocSecurity>
  <Lines>122</Lines>
  <Paragraphs>43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7</cp:revision>
  <dcterms:created xsi:type="dcterms:W3CDTF">2022-12-01T23:18:00Z</dcterms:created>
  <dcterms:modified xsi:type="dcterms:W3CDTF">2022-12-07T22:11:00Z</dcterms:modified>
</cp:coreProperties>
</file>