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fId0.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8" w:after="0" w:line="331" w:lineRule="exact"/>
        <w:ind w:right="0" w:left="0" w:firstLine="0"/>
        <w:jc w:val="center"/>
        <w:textAlignment w:val="baseline"/>
        <w:rPr>
          <w:rFonts w:ascii="Arial" w:hAnsi="Arial" w:eastAsia="Arial"/>
          <w:b w:val="true"/>
          <w:strike w:val="false"/>
          <w:color w:val="000000"/>
          <w:spacing w:val="0"/>
          <w:w w:val="100"/>
          <w:sz w:val="28"/>
          <w:vertAlign w:val="baseline"/>
          <w:lang w:val="en-US"/>
        </w:rPr>
      </w:pPr>
      <w:r>
        <w:rPr>
          <w:rFonts w:ascii="Arial" w:hAnsi="Arial" w:eastAsia="Arial"/>
          <w:b w:val="true"/>
          <w:strike w:val="false"/>
          <w:color w:val="000000"/>
          <w:spacing w:val="0"/>
          <w:w w:val="100"/>
          <w:sz w:val="28"/>
          <w:vertAlign w:val="baseline"/>
          <w:lang w:val="en-US"/>
        </w:rPr>
        <w:t xml:space="preserve">CRIMINAL POSSESSION OF A CHEMICAL WEAPON</w:t>
        <w:br/>
      </w:r>
      <w:r>
        <w:rPr>
          <w:rFonts w:ascii="Arial" w:hAnsi="Arial" w:eastAsia="Arial"/>
          <w:b w:val="true"/>
          <w:strike w:val="false"/>
          <w:color w:val="000000"/>
          <w:spacing w:val="0"/>
          <w:w w:val="100"/>
          <w:sz w:val="28"/>
          <w:vertAlign w:val="baseline"/>
          <w:lang w:val="en-US"/>
        </w:rPr>
        <w:t xml:space="preserve">OR BIOLOGICAL WEAPON FIRST DEGREE</w:t>
        <w:br/>
      </w:r>
      <w:r>
        <w:rPr>
          <w:rFonts w:ascii="Arial" w:hAnsi="Arial" w:eastAsia="Arial"/>
          <w:b w:val="true"/>
          <w:strike w:val="false"/>
          <w:color w:val="000000"/>
          <w:spacing w:val="0"/>
          <w:w w:val="100"/>
          <w:sz w:val="28"/>
          <w:vertAlign w:val="baseline"/>
          <w:lang w:val="en-US"/>
        </w:rPr>
        <w:t xml:space="preserve">Penal Law § 490.45(1)</w:t>
        <w:br/>
      </w:r>
      <w:r>
        <w:rPr>
          <w:rFonts w:ascii="Arial" w:hAnsi="Arial" w:eastAsia="Arial"/>
          <w:b w:val="true"/>
          <w:strike w:val="false"/>
          <w:color w:val="000000"/>
          <w:spacing w:val="0"/>
          <w:w w:val="100"/>
          <w:sz w:val="28"/>
          <w:vertAlign w:val="baseline"/>
          <w:lang w:val="en-US"/>
        </w:rPr>
        <w:t xml:space="preserve">(Committed on or after July 23, 2004)</w:t>
      </w:r>
    </w:p>
    <w:p>
      <w:pPr>
        <w:pageBreakBefore w:val="false"/>
        <w:spacing w:before="641"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w:t>
      </w:r>
      <w:r>
        <w:rPr>
          <w:rFonts w:ascii="Arial" w:hAnsi="Arial" w:eastAsia="Arial"/>
          <w:i w:val="true"/>
          <w:strike w:val="false"/>
          <w:color w:val="000000"/>
          <w:spacing w:val="0"/>
          <w:w w:val="100"/>
          <w:sz w:val="28"/>
          <w:vertAlign w:val="baseline"/>
          <w:lang w:val="en-US"/>
        </w:rPr>
        <w:t xml:space="preserve">specify</w:t>
      </w:r>
      <w:r>
        <w:rPr>
          <w:rFonts w:ascii="Arial" w:hAnsi="Arial" w:eastAsia="Arial"/>
          <w:strike w:val="false"/>
          <w:color w:val="000000"/>
          <w:spacing w:val="0"/>
          <w:w w:val="100"/>
          <w:sz w:val="28"/>
          <w:vertAlign w:val="baseline"/>
          <w:lang w:val="en-US"/>
        </w:rPr>
        <w:t xml:space="preserve">) count is Criminal Possession of a Chemical Weapon or Biological Weapon in the First Degree.</w:t>
      </w:r>
    </w:p>
    <w:p>
      <w:pPr>
        <w:pageBreakBefore w:val="false"/>
        <w:spacing w:before="324" w:after="0" w:line="324"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Under our law, a person is guilty of Criminal Possession of a Chemical Weapon or Biological Weapon in the First Degree when he or she possesses any select chemical agent with intent to use such agent to cause serious physical injury to, or the death of, another person; and</w:t>
      </w:r>
    </w:p>
    <w:p>
      <w:pPr>
        <w:pageBreakBefore w:val="false"/>
        <w:spacing w:before="0" w:after="0" w:line="648" w:lineRule="exact"/>
        <w:ind w:right="0" w:left="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</w:t>
        <w:br/>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18"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spacing w:before="322" w:after="0" w:line="326" w:lineRule="exact"/>
        <w:ind w:right="0" w:left="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w:t>
      </w:r>
    </w:p>
    <w:p>
      <w:pPr>
        <w:pageBreakBefore w:val="false"/>
        <w:spacing w:before="318" w:after="0" w:line="326"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The following terms used in that definition have a special meaning:</w:t>
      </w:r>
    </w:p>
    <w:p>
      <w:pPr>
        <w:pageBreakBefore w:val="false"/>
        <w:spacing w:before="329" w:after="0" w:line="319"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POSSESS means to have physical possession or otherwise to exercise dominion or control over tangible property.</w:t>
      </w:r>
      <w:r>
        <w:rPr>
          <w:rFonts w:ascii="Arial" w:hAnsi="Arial" w:eastAsia="Arial"/>
          <w:strike w:val="false"/>
          <w:color w:val="000000"/>
          <w:spacing w:val="-4"/>
          <w:w w:val="100"/>
          <w:sz w:val="28"/>
          <w:vertAlign w:val="superscript"/>
          <w:lang w:val="en-US"/>
        </w:rPr>
        <w:t xml:space="preserve">1</w:t>
      </w:r>
      <w:r>
        <w:rPr>
          <w:rFonts w:ascii="Arial" w:hAnsi="Arial" w:eastAsia="Arial"/>
          <w:strike w:val="false"/>
          <w:color w:val="000000"/>
          <w:spacing w:val="-4"/>
          <w:w w:val="100"/>
          <w:sz w:val="17"/>
          <w:vertAlign w:val="baseline"/>
          <w:lang w:val="en-US"/>
        </w:rPr>
        <w:t xml:space="preserve">
</w:t>
      </w:r>
    </w:p>
    <w:p>
      <w:pPr>
        <w:pageBreakBefore w:val="false"/>
        <w:spacing w:before="337" w:after="1464" w:line="318" w:lineRule="exact"/>
        <w:ind w:right="0" w:left="720" w:firstLine="0"/>
        <w:jc w:val="both"/>
        <w:textAlignment w:val="baseline"/>
        <w:rPr>
          <w:rFonts w:ascii="Arial" w:hAnsi="Arial" w:eastAsia="Arial"/>
          <w:strike w:val="false"/>
          <w:color w:val="000000"/>
          <w:spacing w:val="-5"/>
          <w:w w:val="100"/>
          <w:sz w:val="28"/>
          <w:vertAlign w:val="baseline"/>
          <w:lang w:val="en-US"/>
        </w:rPr>
      </w:pPr>
      <w:r>
        <w:rPr>
          <w:rFonts w:ascii="Arial" w:hAnsi="Arial" w:eastAsia="Arial"/>
          <w:strike w:val="false"/>
          <w:color w:val="000000"/>
          <w:spacing w:val="-5"/>
          <w:w w:val="100"/>
          <w:sz w:val="28"/>
          <w:vertAlign w:val="baseline"/>
          <w:lang w:val="en-US"/>
        </w:rPr>
        <w:t xml:space="preserve">SELECT CHEMICAL AGENT means an identified chemical</w:t>
      </w:r>
    </w:p>
    <w:p>
      <w:pPr>
        <w:pageBreakBefore w:val="false"/>
        <w:spacing w:before="256" w:after="0" w:line="276" w:lineRule="exact"/>
        <w:ind w:right="0" w:left="0" w:firstLine="0"/>
        <w:jc w:val="both"/>
        <w:textAlignment w:val="baseline"/>
        <w:rPr>
          <w:rFonts w:ascii="Times New Roman" w:hAnsi="Times New Roman" w:eastAsia="Times New Roman"/>
          <w:strike w:val="false"/>
          <w:color w:val="000000"/>
          <w:spacing w:val="0"/>
          <w:w w:val="100"/>
          <w:sz w:val="13"/>
          <w:vertAlign w:val="superscript"/>
          <w:lang w:val="en-US"/>
        </w:rPr>
      </w:pPr>
      <w:r>
        <w:pict>
          <v:line strokeweight="0.95pt" strokecolor="#000000" from="108pt,666.5pt" to="252.05pt,666.5pt" style="position:absolute;mso-position-horizontal-relative:page;mso-position-vertical-relative:page;">
            <v:stroke dashstyle="solid"/>
          </v:line>
        </w:pict>
      </w:r>
      <w:r>
        <w:rPr>
          <w:rFonts w:ascii="Times New Roman" w:hAnsi="Times New Roman" w:eastAsia="Times New Roman"/>
          <w:strike w:val="false"/>
          <w:color w:val="000000"/>
          <w:spacing w:val="0"/>
          <w:w w:val="100"/>
          <w:sz w:val="13"/>
          <w:vertAlign w:val="superscript"/>
          <w:lang w:val="en-US"/>
        </w:rPr>
        <w:t xml:space="preserve">1</w:t>
      </w:r>
      <w:r>
        <w:rPr>
          <w:rFonts w:ascii="Arial" w:hAnsi="Arial" w:eastAsia="Arial"/>
          <w:i w:val="true"/>
          <w:strike w:val="false"/>
          <w:color w:val="000000"/>
          <w:spacing w:val="0"/>
          <w:w w:val="100"/>
          <w:sz w:val="24"/>
          <w:vertAlign w:val="baseline"/>
          <w:lang w:val="en-US"/>
        </w:rPr>
        <w:t xml:space="preserve">See </w:t>
      </w:r>
      <w:r>
        <w:rPr>
          <w:rFonts w:ascii="Arial" w:hAnsi="Arial" w:eastAsia="Arial"/>
          <w:strike w:val="false"/>
          <w:color w:val="000000"/>
          <w:spacing w:val="0"/>
          <w:w w:val="100"/>
          <w:sz w:val="24"/>
          <w:vertAlign w:val="baseline"/>
          <w:lang w:val="en-US"/>
        </w:rPr>
        <w:t xml:space="preserve">Penal Law § 10.00(8). If necessary, an expanded definition of “possession” is available in the section on General Instructions under Possession.</w:t>
      </w:r>
    </w:p>
    <w:p>
      <w:pPr>
        <w:sectPr>
          <w:type w:val="nextPage"/>
          <w:pgSz w:w="12240" w:h="15840" w:orient="portrait"/>
          <w:pgMar w:bottom="1024" w:top="1440" w:right="2140" w:left="2160" w:header="720" w:footer="0"/>
          <w:titlePg w:val="false"/>
          <w:textDirection w:val="lrTb"/>
        </w:sectPr>
      </w:pPr>
    </w:p>
    <w:p>
      <w:pPr>
        <w:pageBreakBefore w:val="false"/>
        <w:spacing w:before="43" w:after="0" w:line="321"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weapon, including </w:t>
      </w:r>
      <w:r>
        <w:rPr>
          <w:rFonts w:ascii="Arial" w:hAnsi="Arial" w:eastAsia="Arial"/>
          <w:i w:val="true"/>
          <w:strike w:val="false"/>
          <w:color w:val="000000"/>
          <w:spacing w:val="0"/>
          <w:w w:val="100"/>
          <w:sz w:val="28"/>
          <w:u w:val="single"/>
          <w:vertAlign w:val="baseline"/>
          <w:lang w:val="en-US"/>
        </w:rPr>
        <w:t xml:space="preserve">( specify)</w:t>
      </w:r>
      <w:r>
        <w:rPr>
          <w:rFonts w:ascii="Arial" w:hAnsi="Arial" w:eastAsia="Arial"/>
          <w:strike w:val="false"/>
          <w:color w:val="000000"/>
          <w:spacing w:val="0"/>
          <w:w w:val="100"/>
          <w:sz w:val="28"/>
          <w:vertAlign w:val="baseline"/>
          <w:lang w:val="en-US"/>
        </w:rPr>
        <w:t xml:space="preserve"> .</w:t>
      </w:r>
      <w:r>
        <w:rPr>
          <w:rFonts w:ascii="Arial" w:hAnsi="Arial" w:eastAsia="Arial"/>
          <w:strike w:val="false"/>
          <w:color w:val="000000"/>
          <w:spacing w:val="0"/>
          <w:w w:val="100"/>
          <w:sz w:val="17"/>
          <w:vertAlign w:val="baseline"/>
          <w:lang w:val="en-US"/>
        </w:rPr>
        <w:t xml:space="preserve">2</w:t>
      </w:r>
    </w:p>
    <w:p>
      <w:pPr>
        <w:pageBreakBefore w:val="false"/>
        <w:spacing w:before="326" w:after="0" w:line="325" w:lineRule="exact"/>
        <w:ind w:right="0" w:left="0" w:firstLine="720"/>
        <w:jc w:val="both"/>
        <w:textAlignment w:val="baseline"/>
        <w:rPr>
          <w:rFonts w:ascii="Arial" w:hAnsi="Arial" w:eastAsia="Arial"/>
          <w:strike w:val="false"/>
          <w:color w:val="000000"/>
          <w:spacing w:val="-3"/>
          <w:w w:val="100"/>
          <w:sz w:val="28"/>
          <w:vertAlign w:val="baseline"/>
          <w:lang w:val="en-US"/>
        </w:rPr>
      </w:pPr>
      <w:r>
        <w:rPr>
          <w:rFonts w:ascii="Arial" w:hAnsi="Arial" w:eastAsia="Arial"/>
          <w:strike w:val="false"/>
          <w:color w:val="000000"/>
          <w:spacing w:val="-3"/>
          <w:w w:val="100"/>
          <w:sz w:val="28"/>
          <w:vertAlign w:val="baseline"/>
          <w:lang w:val="en-US"/>
        </w:rPr>
        <w:t xml:space="preserve">INTENT means conscious objective or purpose.</w:t>
      </w:r>
      <w:r>
        <w:rPr>
          <w:rFonts w:ascii="Arial" w:hAnsi="Arial" w:eastAsia="Arial"/>
          <w:strike w:val="false"/>
          <w:color w:val="000000"/>
          <w:spacing w:val="-3"/>
          <w:w w:val="100"/>
          <w:sz w:val="28"/>
          <w:vertAlign w:val="superscript"/>
          <w:lang w:val="en-US"/>
        </w:rPr>
        <w:t xml:space="preserve">3</w:t>
      </w:r>
      <w:r>
        <w:rPr>
          <w:rFonts w:ascii="Arial" w:hAnsi="Arial" w:eastAsia="Arial"/>
          <w:strike w:val="false"/>
          <w:color w:val="000000"/>
          <w:spacing w:val="-3"/>
          <w:w w:val="100"/>
          <w:sz w:val="28"/>
          <w:vertAlign w:val="baseline"/>
          <w:lang w:val="en-US"/>
        </w:rPr>
        <w:t xml:space="preserve"> Thus, a person acts with intent to use any select chemical agent to cause serious physical injury to, or the death of, another person and</w:t>
      </w:r>
    </w:p>
    <w:p>
      <w:pPr>
        <w:pageBreakBefore w:val="false"/>
        <w:spacing w:before="5" w:after="0" w:line="643" w:lineRule="exact"/>
        <w:ind w:right="0" w:left="72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</w:t>
        <w:br/>
      </w: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1" w:after="0" w:line="327"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spacing w:before="317" w:after="0" w:line="32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w:t>
      </w:r>
    </w:p>
    <w:p>
      <w:pPr>
        <w:pageBreakBefore w:val="false"/>
        <w:spacing w:before="332" w:after="0" w:line="316" w:lineRule="exact"/>
        <w:ind w:right="0" w:left="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when his or her conscious objective or purpose is to do so.</w:t>
      </w:r>
    </w:p>
    <w:p>
      <w:pPr>
        <w:pageBreakBefore w:val="false"/>
        <w:spacing w:before="327" w:after="0" w:line="323" w:lineRule="exact"/>
        <w:ind w:right="0" w:left="0" w:firstLine="72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SERIOUS PHYSICAL INJURY means impairment of a person’s physical condition which creates a substantial risk of death or which causes death or serious and protracted disfigurement, protracted impairment of health or protracted loss or impairment of the function of any bodily organ.</w:t>
      </w:r>
      <w:r>
        <w:rPr>
          <w:rFonts w:ascii="Arial" w:hAnsi="Arial" w:eastAsia="Arial"/>
          <w:strike w:val="false"/>
          <w:color w:val="000000"/>
          <w:spacing w:val="0"/>
          <w:w w:val="100"/>
          <w:sz w:val="28"/>
          <w:vertAlign w:val="superscript"/>
          <w:lang w:val="en-US"/>
        </w:rPr>
        <w:t xml:space="preserve">4</w:t>
      </w:r>
      <w:r>
        <w:rPr>
          <w:rFonts w:ascii="Arial" w:hAnsi="Arial" w:eastAsia="Arial"/>
          <w:strike w:val="false"/>
          <w:color w:val="000000"/>
          <w:spacing w:val="0"/>
          <w:w w:val="100"/>
          <w:sz w:val="17"/>
          <w:vertAlign w:val="baseline"/>
          <w:lang w:val="en-US"/>
        </w:rPr>
        <w:t xml:space="preserve">
</w:t>
      </w:r>
    </w:p>
    <w:p>
      <w:pPr>
        <w:pageBreakBefore w:val="false"/>
        <w:spacing w:before="326" w:after="0" w:line="324" w:lineRule="exact"/>
        <w:ind w:right="0" w:left="0" w:firstLine="720"/>
        <w:jc w:val="both"/>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In order for you to find the defendant guilty of this crime, the People are required to prove, from all the evidence in the case, beyond a reasonable doubt, both of the following two elements:</w:t>
      </w:r>
    </w:p>
    <w:p>
      <w:pPr>
        <w:pageBreakBefore w:val="false"/>
        <w:tabs>
          <w:tab w:val="right" w:leader="none" w:pos="7920"/>
        </w:tabs>
        <w:spacing w:before="332" w:after="352" w:line="316" w:lineRule="exact"/>
        <w:ind w:right="0" w:left="720" w:firstLine="0"/>
        <w:jc w:val="both"/>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1.	</w:t>
      </w:r>
      <w:r>
        <w:rPr>
          <w:rFonts w:ascii="Arial" w:hAnsi="Arial" w:eastAsia="Arial"/>
          <w:strike w:val="false"/>
          <w:color w:val="000000"/>
          <w:spacing w:val="0"/>
          <w:w w:val="100"/>
          <w:sz w:val="28"/>
          <w:vertAlign w:val="baseline"/>
          <w:lang w:val="en-US"/>
        </w:rPr>
        <w:t xml:space="preserve">That on or about </w:t>
      </w:r>
      <w:r>
        <w:rPr>
          <w:rFonts w:ascii="Arial" w:hAnsi="Arial" w:eastAsia="Arial"/>
          <w:i w:val="true"/>
          <w:strike w:val="false"/>
          <w:color w:val="000000"/>
          <w:spacing w:val="0"/>
          <w:w w:val="100"/>
          <w:sz w:val="23"/>
          <w:u w:val="single"/>
          <w:vertAlign w:val="baseline"/>
          <w:lang w:val="en-US"/>
        </w:rPr>
        <w:t xml:space="preserve"> (date) </w:t>
      </w:r>
      <w:r>
        <w:rPr>
          <w:rFonts w:ascii="Arial" w:hAnsi="Arial" w:eastAsia="Arial"/>
          <w:strike w:val="false"/>
          <w:color w:val="000000"/>
          <w:spacing w:val="0"/>
          <w:w w:val="100"/>
          <w:sz w:val="28"/>
          <w:vertAlign w:val="baseline"/>
          <w:lang w:val="en-US"/>
        </w:rPr>
        <w:t xml:space="preserve"> , in the county of </w:t>
      </w:r>
      <w:r>
        <w:rPr>
          <w:rFonts w:ascii="Arial" w:hAnsi="Arial" w:eastAsia="Arial"/>
          <w:i w:val="true"/>
          <w:strike w:val="false"/>
          <w:color w:val="000000"/>
          <w:spacing w:val="0"/>
          <w:w w:val="100"/>
          <w:sz w:val="23"/>
          <w:u w:val="single"/>
          <w:vertAlign w:val="baseline"/>
          <w:lang w:val="en-US"/>
        </w:rPr>
        <w:t xml:space="preserve"> (county) </w:t>
      </w:r>
      <w:r>
        <w:rPr>
          <w:rFonts w:ascii="Arial" w:hAnsi="Arial" w:eastAsia="Arial"/>
          <w:strike w:val="false"/>
          <w:color w:val="000000"/>
          <w:spacing w:val="0"/>
          <w:w w:val="100"/>
          <w:sz w:val="28"/>
          <w:vertAlign w:val="baseline"/>
          <w:lang w:val="en-US"/>
        </w:rPr>
        <w:t xml:space="preserve"> , the</w:t>
      </w:r>
    </w:p>
    <w:p>
      <w:pPr>
        <w:pageBreakBefore w:val="false"/>
        <w:spacing w:before="261" w:after="0" w:line="277" w:lineRule="exact"/>
        <w:ind w:right="0" w:left="0" w:firstLine="0"/>
        <w:jc w:val="both"/>
        <w:textAlignment w:val="baseline"/>
        <w:rPr>
          <w:rFonts w:ascii="Times New Roman" w:hAnsi="Times New Roman" w:eastAsia="Times New Roman"/>
          <w:strike w:val="false"/>
          <w:color w:val="000000"/>
          <w:spacing w:val="-3"/>
          <w:w w:val="100"/>
          <w:sz w:val="13"/>
          <w:vertAlign w:val="superscript"/>
          <w:lang w:val="en-US"/>
        </w:rPr>
      </w:pPr>
      <w:r>
        <w:pict>
          <v:line strokeweight="1.2pt" strokecolor="#000000" from="108pt,560.15pt" to="252.05pt,560.15pt" style="position:absolute;mso-position-horizontal-relative:page;mso-position-vertical-relative:page;">
            <v:stroke dashstyle="solid"/>
          </v:line>
        </w:pict>
      </w:r>
      <w:r>
        <w:rPr>
          <w:rFonts w:ascii="Times New Roman" w:hAnsi="Times New Roman" w:eastAsia="Times New Roman"/>
          <w:strike w:val="false"/>
          <w:color w:val="000000"/>
          <w:spacing w:val="-3"/>
          <w:w w:val="100"/>
          <w:sz w:val="13"/>
          <w:vertAlign w:val="superscript"/>
          <w:lang w:val="en-US"/>
        </w:rPr>
        <w:t xml:space="preserve">2</w:t>
      </w:r>
      <w:r>
        <w:rPr>
          <w:rFonts w:ascii="Arial" w:hAnsi="Arial" w:eastAsia="Arial"/>
          <w:i w:val="true"/>
          <w:strike w:val="false"/>
          <w:color w:val="000000"/>
          <w:spacing w:val="-3"/>
          <w:w w:val="100"/>
          <w:sz w:val="24"/>
          <w:vertAlign w:val="baseline"/>
          <w:lang w:val="en-US"/>
        </w:rPr>
        <w:t xml:space="preserve"> See </w:t>
      </w:r>
      <w:r>
        <w:rPr>
          <w:rFonts w:ascii="Arial" w:hAnsi="Arial" w:eastAsia="Arial"/>
          <w:strike w:val="false"/>
          <w:color w:val="000000"/>
          <w:spacing w:val="-3"/>
          <w:w w:val="100"/>
          <w:sz w:val="24"/>
          <w:vertAlign w:val="baseline"/>
          <w:lang w:val="en-US"/>
        </w:rPr>
        <w:t xml:space="preserve">Penal Law § 490.05(15) which refers to “a chemical weapon which has been identified in regulations promulgated pursuant to subdivision twenty of section two hundred six of the public health law.” If “chemical weapon” is at issue, the charge should be expanded by adding the applicable definition set forth in Penal Law § 490.05(10).</w:t>
      </w:r>
    </w:p>
    <w:p>
      <w:pPr>
        <w:pageBreakBefore w:val="false"/>
        <w:spacing w:before="236" w:after="0" w:line="294" w:lineRule="exact"/>
        <w:ind w:right="0" w:left="0" w:firstLine="0"/>
        <w:jc w:val="left"/>
        <w:textAlignment w:val="baseline"/>
        <w:rPr>
          <w:rFonts w:ascii="Times New Roman" w:hAnsi="Times New Roman" w:eastAsia="Times New Roman"/>
          <w:strike w:val="false"/>
          <w:color w:val="000000"/>
          <w:spacing w:val="3"/>
          <w:w w:val="100"/>
          <w:sz w:val="13"/>
          <w:vertAlign w:val="superscript"/>
          <w:lang w:val="en-US"/>
        </w:rPr>
      </w:pPr>
      <w:r>
        <w:rPr>
          <w:rFonts w:ascii="Times New Roman" w:hAnsi="Times New Roman" w:eastAsia="Times New Roman"/>
          <w:strike w:val="false"/>
          <w:color w:val="000000"/>
          <w:spacing w:val="3"/>
          <w:w w:val="100"/>
          <w:sz w:val="13"/>
          <w:vertAlign w:val="superscript"/>
          <w:lang w:val="en-US"/>
        </w:rPr>
        <w:t xml:space="preserve">3</w:t>
      </w:r>
      <w:r>
        <w:rPr>
          <w:rFonts w:ascii="Tahoma" w:hAnsi="Tahoma" w:eastAsia="Tahoma"/>
          <w:i w:val="true"/>
          <w:strike w:val="false"/>
          <w:color w:val="000000"/>
          <w:spacing w:val="3"/>
          <w:w w:val="100"/>
          <w:sz w:val="26"/>
          <w:vertAlign w:val="baseline"/>
          <w:lang w:val="en-US"/>
        </w:rPr>
        <w:t xml:space="preserve"> See </w:t>
      </w:r>
      <w:r>
        <w:rPr>
          <w:rFonts w:ascii="Tahoma" w:hAnsi="Tahoma" w:eastAsia="Tahoma"/>
          <w:strike w:val="false"/>
          <w:color w:val="000000"/>
          <w:spacing w:val="3"/>
          <w:w w:val="100"/>
          <w:sz w:val="24"/>
          <w:vertAlign w:val="baseline"/>
          <w:lang w:val="en-US"/>
        </w:rPr>
        <w:t xml:space="preserve">Penal Law § 15.05(1).</w:t>
      </w:r>
    </w:p>
    <w:p>
      <w:pPr>
        <w:pageBreakBefore w:val="false"/>
        <w:spacing w:before="236" w:after="0" w:line="277" w:lineRule="exact"/>
        <w:ind w:right="0" w:left="0" w:firstLine="0"/>
        <w:jc w:val="left"/>
        <w:textAlignment w:val="baseline"/>
        <w:rPr>
          <w:rFonts w:ascii="Times New Roman" w:hAnsi="Times New Roman" w:eastAsia="Times New Roman"/>
          <w:strike w:val="false"/>
          <w:color w:val="000000"/>
          <w:spacing w:val="2"/>
          <w:w w:val="100"/>
          <w:sz w:val="13"/>
          <w:vertAlign w:val="superscript"/>
          <w:lang w:val="en-US"/>
        </w:rPr>
      </w:pPr>
      <w:r>
        <w:rPr>
          <w:rFonts w:ascii="Times New Roman" w:hAnsi="Times New Roman" w:eastAsia="Times New Roman"/>
          <w:strike w:val="false"/>
          <w:color w:val="000000"/>
          <w:spacing w:val="2"/>
          <w:w w:val="100"/>
          <w:sz w:val="13"/>
          <w:vertAlign w:val="superscript"/>
          <w:lang w:val="en-US"/>
        </w:rPr>
        <w:t xml:space="preserve">4</w:t>
      </w:r>
      <w:r>
        <w:rPr>
          <w:rFonts w:ascii="Arial" w:hAnsi="Arial" w:eastAsia="Arial"/>
          <w:i w:val="true"/>
          <w:strike w:val="false"/>
          <w:color w:val="000000"/>
          <w:spacing w:val="2"/>
          <w:w w:val="100"/>
          <w:sz w:val="24"/>
          <w:vertAlign w:val="baseline"/>
          <w:lang w:val="en-US"/>
        </w:rPr>
        <w:t xml:space="preserve"> See </w:t>
      </w:r>
      <w:r>
        <w:rPr>
          <w:rFonts w:ascii="Arial" w:hAnsi="Arial" w:eastAsia="Arial"/>
          <w:strike w:val="false"/>
          <w:color w:val="000000"/>
          <w:spacing w:val="2"/>
          <w:w w:val="100"/>
          <w:sz w:val="24"/>
          <w:vertAlign w:val="baseline"/>
          <w:lang w:val="en-US"/>
        </w:rPr>
        <w:t xml:space="preserve">Penal Law § 10.00(10).</w:t>
      </w:r>
    </w:p>
    <w:p>
      <w:pPr>
        <w:sectPr>
          <w:footerReference w:type="default" r:id="fId0"/>
          <w:type w:val="nextPage"/>
          <w:pgSz w:w="12240" w:h="15840" w:orient="portrait"/>
          <w:pgMar w:bottom="1307" w:top="1400" w:right="2140" w:left="2160" w:header="720" w:footer="1494"/>
          <w:titlePg w:val="false"/>
          <w:textDirection w:val="lrTb"/>
        </w:sectPr>
      </w:pPr>
    </w:p>
    <w:p>
      <w:pPr>
        <w:pageBreakBefore w:val="false"/>
        <w:spacing w:before="0" w:after="0" w:line="32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defendant, </w:t>
      </w:r>
      <w:r>
        <w:rPr>
          <w:rFonts w:ascii="Arial" w:hAnsi="Arial" w:eastAsia="Arial"/>
          <w:i w:val="true"/>
          <w:strike w:val="false"/>
          <w:color w:val="000000"/>
          <w:spacing w:val="0"/>
          <w:w w:val="100"/>
          <w:sz w:val="23"/>
          <w:u w:val="single"/>
          <w:vertAlign w:val="baseline"/>
          <w:lang w:val="en-US"/>
        </w:rPr>
        <w:t xml:space="preserve"> (defendant's name) </w:t>
      </w:r>
      <w:r>
        <w:rPr>
          <w:rFonts w:ascii="Arial" w:hAnsi="Arial" w:eastAsia="Arial"/>
          <w:strike w:val="false"/>
          <w:color w:val="000000"/>
          <w:spacing w:val="0"/>
          <w:w w:val="100"/>
          <w:sz w:val="28"/>
          <w:vertAlign w:val="baseline"/>
          <w:lang w:val="en-US"/>
        </w:rPr>
        <w:t xml:space="preserve"> possessed any select chemical agent; and</w:t>
      </w:r>
    </w:p>
    <w:p>
      <w:pPr>
        <w:pageBreakBefore w:val="false"/>
        <w:tabs>
          <w:tab w:val="right" w:leader="none" w:pos="7920"/>
        </w:tabs>
        <w:spacing w:before="333" w:after="0" w:line="315" w:lineRule="exact"/>
        <w:ind w:right="0" w:left="72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2.	</w:t>
      </w:r>
      <w:r>
        <w:rPr>
          <w:rFonts w:ascii="Arial" w:hAnsi="Arial" w:eastAsia="Arial"/>
          <w:strike w:val="false"/>
          <w:color w:val="000000"/>
          <w:spacing w:val="0"/>
          <w:w w:val="100"/>
          <w:sz w:val="28"/>
          <w:vertAlign w:val="baseline"/>
          <w:lang w:val="en-US"/>
        </w:rPr>
        <w:t xml:space="preserve">That the defendant did so with intent to use such</w:t>
      </w:r>
    </w:p>
    <w:p>
      <w:pPr>
        <w:pageBreakBefore w:val="false"/>
        <w:spacing w:before="4" w:after="0" w:line="322"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agent to cause serious physical injury to, or the death of, another person; and</w:t>
      </w:r>
    </w:p>
    <w:p>
      <w:pPr>
        <w:pageBreakBefore w:val="false"/>
        <w:spacing w:before="333" w:after="0" w:line="319" w:lineRule="exact"/>
        <w:ind w:right="0" w:left="1440" w:firstLine="0"/>
        <w:jc w:val="left"/>
        <w:textAlignment w:val="baseline"/>
        <w:rPr>
          <w:rFonts w:ascii="Arial" w:hAnsi="Arial" w:eastAsia="Arial"/>
          <w:i w:val="true"/>
          <w:strike w:val="false"/>
          <w:color w:val="000000"/>
          <w:spacing w:val="0"/>
          <w:w w:val="100"/>
          <w:sz w:val="28"/>
          <w:vertAlign w:val="baseline"/>
          <w:lang w:val="en-US"/>
        </w:rPr>
      </w:pPr>
      <w:r>
        <w:rPr>
          <w:rFonts w:ascii="Arial" w:hAnsi="Arial" w:eastAsia="Arial"/>
          <w:i w:val="true"/>
          <w:strike w:val="false"/>
          <w:color w:val="000000"/>
          <w:spacing w:val="0"/>
          <w:w w:val="100"/>
          <w:sz w:val="28"/>
          <w:vertAlign w:val="baseline"/>
          <w:lang w:val="en-US"/>
        </w:rPr>
        <w:t xml:space="preserve">Select the appropriate alternative(s):</w:t>
      </w:r>
    </w:p>
    <w:p>
      <w:pPr>
        <w:pageBreakBefore w:val="false"/>
        <w:spacing w:before="329" w:after="0" w:line="315"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intimidate or coerce a civilian population;</w:t>
      </w:r>
    </w:p>
    <w:p>
      <w:pPr>
        <w:pageBreakBefore w:val="false"/>
        <w:spacing w:before="327" w:after="0" w:line="321"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influence the policy of a unit of government by intimidation or coercion; [or]</w:t>
      </w:r>
    </w:p>
    <w:p>
      <w:pPr>
        <w:pageBreakBefore w:val="false"/>
        <w:spacing w:before="321" w:after="0" w:line="327" w:lineRule="exact"/>
        <w:ind w:right="0" w:left="1440" w:firstLine="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affect the conduct of a unit of government by murder, assassination, or kidnapping.</w:t>
      </w:r>
    </w:p>
    <w:p>
      <w:pPr>
        <w:pageBreakBefore w:val="false"/>
        <w:spacing w:before="318" w:after="0" w:line="326" w:lineRule="exact"/>
        <w:ind w:right="0" w:left="0" w:firstLine="720"/>
        <w:jc w:val="left"/>
        <w:textAlignment w:val="baseline"/>
        <w:rPr>
          <w:rFonts w:ascii="Arial" w:hAnsi="Arial" w:eastAsia="Arial"/>
          <w:strike w:val="false"/>
          <w:color w:val="000000"/>
          <w:spacing w:val="0"/>
          <w:w w:val="100"/>
          <w:sz w:val="28"/>
          <w:vertAlign w:val="baseline"/>
          <w:lang w:val="en-US"/>
        </w:rPr>
      </w:pPr>
      <w:r>
        <w:rPr>
          <w:rFonts w:ascii="Arial" w:hAnsi="Arial" w:eastAsia="Arial"/>
          <w:strike w:val="false"/>
          <w:color w:val="000000"/>
          <w:spacing w:val="0"/>
          <w:w w:val="100"/>
          <w:sz w:val="28"/>
          <w:vertAlign w:val="baseline"/>
          <w:lang w:val="en-US"/>
        </w:rPr>
        <w:t xml:space="preserve">If you find the People have proven beyond a reasonable doubt both of those elements, you must find the defendant guilty of this crime.</w:t>
      </w:r>
    </w:p>
    <w:p>
      <w:pPr>
        <w:pageBreakBefore w:val="false"/>
        <w:spacing w:before="328" w:after="0" w:line="321" w:lineRule="exact"/>
        <w:ind w:right="0" w:left="0" w:firstLine="720"/>
        <w:jc w:val="left"/>
        <w:textAlignment w:val="baseline"/>
        <w:rPr>
          <w:rFonts w:ascii="Arial" w:hAnsi="Arial" w:eastAsia="Arial"/>
          <w:strike w:val="false"/>
          <w:color w:val="000000"/>
          <w:spacing w:val="-4"/>
          <w:w w:val="100"/>
          <w:sz w:val="28"/>
          <w:vertAlign w:val="baseline"/>
          <w:lang w:val="en-US"/>
        </w:rPr>
      </w:pPr>
      <w:r>
        <w:rPr>
          <w:rFonts w:ascii="Arial" w:hAnsi="Arial" w:eastAsia="Arial"/>
          <w:strike w:val="false"/>
          <w:color w:val="000000"/>
          <w:spacing w:val="-4"/>
          <w:w w:val="100"/>
          <w:sz w:val="28"/>
          <w:vertAlign w:val="baseline"/>
          <w:lang w:val="en-US"/>
        </w:rPr>
        <w:t xml:space="preserve">If you find the People have not proven beyond a reasonable doubt either one or both of those elements, you must find the defendant not guilty of this crime.</w:t>
      </w:r>
    </w:p>
    <w:sectPr>
      <w:type w:val="nextPage"/>
      <w:pgSz w:w="12240" w:h="15840" w:orient="portrait"/>
      <w:pgMar w:bottom="1307" w:top="1440" w:right="2142" w:left="2158" w:header="720" w:footer="1488"/>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Times New Roman">
    <w:charset w:val="00"/>
    <w:pitch w:val="variable"/>
    <w:family w:val="roman"/>
    <w:panose1 w:val="02020603050405020304"/>
  </w:font>
</w:fonts>
</file>

<file path=word/footerfId0.xml><?xml version="1.0" encoding="utf-8"?>
<w:ftr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p>
    <w:pPr>
      <w:pageBreakBefore w:val="false"/>
      <w:tabs>
        <w:tab w:val="left" w:leader="none" w:pos="3835"/>
      </w:tabs>
      <w:spacing w:before="0" w:after="0" w:line="265" w:lineRule="exact"/>
      <w:ind w:right="0" w:left="0"/>
      <w:jc w:val="left"/>
      <w:textAlignment w:val="baseline"/>
      <w:rPr>
        <w:rFonts w:ascii="Times New Roman" w:hAnsi="Times New Roman" w:eastAsia="Times New Roman"/>
        <w:strike w:val="false"/>
        <w:color w:val="000000"/>
        <w:w w:val="100"/>
        <w:sz w:val="24"/>
        <w:vertAlign w:val="baseline"/>
        <w:lang w:val="en-US"/>
      </w:rPr>
    </w:pPr>
    <w:r>
      <w:rPr>
        <w:rFonts w:ascii="Times New Roman" w:hAnsi="Times New Roman" w:eastAsia="Times New Roman"/>
        <w:strike w:val="false"/>
        <w:color w:val="000000"/>
        <w:w w:val="100"/>
        <w:sz w:val="24"/>
        <w:vertAlign w:val="baseline"/>
        <w:lang w:val="en-US"/>
      </w:rPr>
      <w:tab/>
    </w:r>
    <w:r>
      <w:rPr>
        <w:rFonts w:ascii="Times New Roman" w:hAnsi="Times New Roman" w:eastAsia="Times New Roman"/>
        <w:strike w:val="false"/>
        <w:color w:val="000000"/>
        <w:spacing w:val="0"/>
        <w:w w:val="100"/>
        <w:sz w:val="24"/>
        <w:vertAlign w:val="baseline"/>
        <w:lang w:val="en-US"/>
      </w:rPr>
      <w:fldChar w:fldCharType="begin"/>
    </w:r>
    <w:r>
      <w:rPr>
        <w:rFonts w:ascii="Times New Roman" w:hAnsi="Times New Roman" w:eastAsia="Times New Roman"/>
        <w:strike w:val="false"/>
        <w:color w:val="000000"/>
        <w:spacing w:val="0"/>
        <w:w w:val="100"/>
        <w:sz w:val="24"/>
        <w:vertAlign w:val="baseline"/>
        <w:lang w:val="en-US"/>
      </w:rPr>
      <w:instrText xml:space="preserve">PAGE</w:instrText>
    </w:r>
    <w:r>
      <w:rPr>
        <w:rFonts w:ascii="Times New Roman" w:hAnsi="Times New Roman" w:eastAsia="Times New Roman"/>
        <w:strike w:val="false"/>
        <w:color w:val="000000"/>
        <w:spacing w:val="0"/>
        <w:w w:val="100"/>
        <w:sz w:val="24"/>
        <w:vertAlign w:val="baseline"/>
        <w:lang w:val="en-US"/>
      </w:rPr>
      <w:fldChar w:fldCharType="end"/>
    </w:r>
    <w:r>
      <w:rPr>
        <w:rFonts w:ascii="Times New Roman" w:hAnsi="Times New Roman" w:eastAsia="Times New Roman"/>
        <w:strike w:val="false"/>
        <w:color w:val="000000"/>
        <w:spacing w:val="0"/>
        <w:w w:val="100"/>
        <w:sz w:val="24"/>
        <w:vertAlign w:val="baseline"/>
        <w:lang w:val="en-US"/>
      </w:rPr>
      <w:t xml:space="preserve">
</w:t>
    </w:r>
  </w:p>
</w:ftr>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evenAndOddHeaders w:val="false"/>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fId0" Type="http://schemas.openxmlformats.org/officeDocument/2006/relationships/footer" Target="footerfId0.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