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01CE" w14:textId="77777777" w:rsidR="00FF0C9F" w:rsidRDefault="00FA5A0F">
      <w:pPr>
        <w:spacing w:line="360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>ABBREVIATED COLLOQUY FOR A NON-FELONY</w:t>
      </w:r>
      <w:r>
        <w:rPr>
          <w:rFonts w:eastAsia="Times New Roman"/>
          <w:color w:val="000000"/>
          <w:sz w:val="26"/>
          <w:vertAlign w:val="superscript"/>
        </w:rPr>
        <w:t>1</w:t>
      </w:r>
      <w:r>
        <w:rPr>
          <w:rFonts w:eastAsia="Times New Roman"/>
          <w:color w:val="000000"/>
          <w:sz w:val="16"/>
        </w:rPr>
        <w:t xml:space="preserve"> </w:t>
      </w:r>
      <w:r>
        <w:rPr>
          <w:rFonts w:eastAsia="Times New Roman"/>
          <w:color w:val="000000"/>
          <w:sz w:val="16"/>
        </w:rPr>
        <w:br/>
      </w:r>
      <w:r>
        <w:rPr>
          <w:rFonts w:eastAsia="Times New Roman"/>
          <w:color w:val="000000"/>
          <w:sz w:val="26"/>
        </w:rPr>
        <w:t xml:space="preserve">Added </w:t>
      </w:r>
      <w:proofErr w:type="gramStart"/>
      <w:r>
        <w:rPr>
          <w:rFonts w:eastAsia="Times New Roman"/>
          <w:color w:val="000000"/>
          <w:sz w:val="26"/>
        </w:rPr>
        <w:t>June,</w:t>
      </w:r>
      <w:proofErr w:type="gramEnd"/>
      <w:r>
        <w:rPr>
          <w:rFonts w:eastAsia="Times New Roman"/>
          <w:color w:val="000000"/>
          <w:sz w:val="26"/>
        </w:rPr>
        <w:t xml:space="preserve"> 2017</w:t>
      </w:r>
    </w:p>
    <w:p w14:paraId="0AEA01CF" w14:textId="6F68D9B8" w:rsidR="00FF0C9F" w:rsidRDefault="00FA5A0F">
      <w:pPr>
        <w:spacing w:before="384" w:line="384" w:lineRule="exact"/>
        <w:ind w:left="720" w:right="648"/>
        <w:jc w:val="both"/>
        <w:textAlignment w:val="baseline"/>
        <w:rPr>
          <w:rFonts w:eastAsia="Times New Roman"/>
          <w:i/>
          <w:color w:val="000000"/>
          <w:sz w:val="26"/>
        </w:rPr>
      </w:pPr>
      <w:r>
        <w:rPr>
          <w:rFonts w:eastAsia="Times New Roman"/>
          <w:i/>
          <w:color w:val="000000"/>
          <w:sz w:val="26"/>
        </w:rPr>
        <w:t>Note. In recognition of the high volume of pleas to non-felony offenses which may be required to be taken on a given day in a local criminal court, the following questions extracted from the recommended plea colloquy provide, in the discretion of the court</w:t>
      </w:r>
      <w:r>
        <w:rPr>
          <w:rFonts w:eastAsia="Times New Roman"/>
          <w:i/>
          <w:color w:val="000000"/>
          <w:sz w:val="26"/>
        </w:rPr>
        <w:t xml:space="preserve">, a shorter, albeit sufficient, plea colloquy. However, even for non-felony offense, the expanded colloquy or parts thereof </w:t>
      </w:r>
      <w:r>
        <w:rPr>
          <w:rFonts w:eastAsia="Times New Roman"/>
          <w:i/>
          <w:color w:val="000000"/>
          <w:sz w:val="26"/>
        </w:rPr>
        <w:t>may be appropriate. Sentences in brackets are recommended but not required by law.</w:t>
      </w:r>
    </w:p>
    <w:p w14:paraId="0AEA01D0" w14:textId="77777777" w:rsidR="00FF0C9F" w:rsidRDefault="00FA5A0F">
      <w:pPr>
        <w:spacing w:before="384" w:line="384" w:lineRule="exact"/>
        <w:jc w:val="both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Have you spoken with your lawy</w:t>
      </w:r>
      <w:r>
        <w:rPr>
          <w:rFonts w:eastAsia="Times New Roman"/>
          <w:color w:val="000000"/>
          <w:sz w:val="26"/>
        </w:rPr>
        <w:t>er about your case, about pleading guilty and its consequences? [Are you satisfied with the services of your lawyer?]</w:t>
      </w:r>
    </w:p>
    <w:p w14:paraId="0AEA01D1" w14:textId="77777777" w:rsidR="00FF0C9F" w:rsidRDefault="00FA5A0F">
      <w:pPr>
        <w:spacing w:before="473" w:line="296" w:lineRule="exact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[The allegations of (</w:t>
      </w:r>
      <w:r>
        <w:rPr>
          <w:rFonts w:eastAsia="Times New Roman"/>
          <w:i/>
          <w:color w:val="000000"/>
          <w:sz w:val="26"/>
          <w:u w:val="single"/>
        </w:rPr>
        <w:t>name of crime</w:t>
      </w:r>
      <w:r>
        <w:rPr>
          <w:rFonts w:eastAsia="Times New Roman"/>
          <w:color w:val="000000"/>
          <w:sz w:val="26"/>
        </w:rPr>
        <w:t>) are (</w:t>
      </w:r>
      <w:r>
        <w:rPr>
          <w:rFonts w:eastAsia="Times New Roman"/>
          <w:i/>
          <w:color w:val="000000"/>
          <w:sz w:val="26"/>
          <w:u w:val="single"/>
        </w:rPr>
        <w:t>specify</w:t>
      </w:r>
      <w:r>
        <w:rPr>
          <w:rFonts w:eastAsia="Times New Roman"/>
          <w:color w:val="000000"/>
          <w:sz w:val="26"/>
        </w:rPr>
        <w:t>). Is that true?]</w:t>
      </w:r>
    </w:p>
    <w:p w14:paraId="0AEA01D2" w14:textId="77777777" w:rsidR="00FF0C9F" w:rsidRDefault="00FA5A0F">
      <w:pPr>
        <w:spacing w:before="384" w:line="384" w:lineRule="exact"/>
        <w:jc w:val="both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Do you plead guilty to (</w:t>
      </w:r>
      <w:r>
        <w:rPr>
          <w:rFonts w:eastAsia="Times New Roman"/>
          <w:i/>
          <w:color w:val="000000"/>
          <w:sz w:val="26"/>
          <w:u w:val="single"/>
        </w:rPr>
        <w:t>specify name of offense, and if so, and not alre</w:t>
      </w:r>
      <w:r>
        <w:rPr>
          <w:rFonts w:eastAsia="Times New Roman"/>
          <w:i/>
          <w:color w:val="000000"/>
          <w:sz w:val="26"/>
          <w:u w:val="single"/>
        </w:rPr>
        <w:t>ady on the record, the court may add: “which is in satisfaction of (specify the more serious charge</w:t>
      </w:r>
      <w:r>
        <w:rPr>
          <w:rFonts w:eastAsia="Times New Roman"/>
          <w:color w:val="000000"/>
          <w:sz w:val="26"/>
        </w:rPr>
        <w:t>)?</w:t>
      </w:r>
      <w:r>
        <w:rPr>
          <w:rFonts w:eastAsia="Times New Roman"/>
          <w:color w:val="000000"/>
          <w:sz w:val="26"/>
          <w:u w:val="single"/>
        </w:rPr>
        <w:t xml:space="preserve"> </w:t>
      </w:r>
    </w:p>
    <w:p w14:paraId="0AEA01D3" w14:textId="77777777" w:rsidR="00FF0C9F" w:rsidRDefault="00FA5A0F">
      <w:pPr>
        <w:spacing w:before="472" w:line="296" w:lineRule="exact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Do you understand that the sentence will be: (</w:t>
      </w:r>
      <w:r>
        <w:rPr>
          <w:rFonts w:eastAsia="Times New Roman"/>
          <w:i/>
          <w:color w:val="000000"/>
          <w:sz w:val="26"/>
          <w:u w:val="single"/>
        </w:rPr>
        <w:t>specify</w:t>
      </w:r>
      <w:r>
        <w:rPr>
          <w:rFonts w:eastAsia="Times New Roman"/>
          <w:color w:val="000000"/>
          <w:sz w:val="26"/>
        </w:rPr>
        <w:t>)?</w:t>
      </w:r>
    </w:p>
    <w:p w14:paraId="0AEA01D4" w14:textId="77777777" w:rsidR="00FF0C9F" w:rsidRDefault="00FA5A0F">
      <w:pPr>
        <w:spacing w:before="386" w:line="382" w:lineRule="exact"/>
        <w:jc w:val="both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 xml:space="preserve">Do you understand that by pleading guilty, you waive your right to a trial [by jury] where you would have the right to confront and cross-examine witnesses and to remain silent and not to incriminate yourself? </w:t>
      </w:r>
      <w:r>
        <w:rPr>
          <w:rFonts w:eastAsia="Times New Roman"/>
          <w:color w:val="000000"/>
          <w:sz w:val="26"/>
          <w:vertAlign w:val="superscript"/>
        </w:rPr>
        <w:t>2</w:t>
      </w:r>
      <w:r>
        <w:rPr>
          <w:rFonts w:eastAsia="Times New Roman"/>
          <w:color w:val="000000"/>
          <w:sz w:val="16"/>
        </w:rPr>
        <w:t xml:space="preserve"> </w:t>
      </w:r>
    </w:p>
    <w:p w14:paraId="0AEA01D5" w14:textId="77777777" w:rsidR="00FF0C9F" w:rsidRDefault="00FA5A0F">
      <w:pPr>
        <w:spacing w:before="387" w:line="384" w:lineRule="exact"/>
        <w:jc w:val="both"/>
        <w:textAlignment w:val="baseline"/>
        <w:rPr>
          <w:rFonts w:eastAsia="Times New Roman"/>
          <w:i/>
          <w:color w:val="000000"/>
          <w:spacing w:val="-2"/>
          <w:sz w:val="26"/>
        </w:rPr>
      </w:pPr>
      <w:r>
        <w:rPr>
          <w:rFonts w:eastAsia="Times New Roman"/>
          <w:i/>
          <w:color w:val="000000"/>
          <w:spacing w:val="-2"/>
          <w:sz w:val="26"/>
        </w:rPr>
        <w:t>As applicable</w:t>
      </w:r>
      <w:r>
        <w:rPr>
          <w:rFonts w:eastAsia="Times New Roman"/>
          <w:color w:val="000000"/>
          <w:spacing w:val="-2"/>
          <w:sz w:val="26"/>
        </w:rPr>
        <w:t>: (If you are not a citizen of</w:t>
      </w:r>
      <w:r>
        <w:rPr>
          <w:rFonts w:eastAsia="Times New Roman"/>
          <w:color w:val="000000"/>
          <w:spacing w:val="-2"/>
          <w:sz w:val="26"/>
        </w:rPr>
        <w:t xml:space="preserve"> the United States) [D]o you wish to plead guilty, regardless of whether the plea in whole or in part results in your deportation, exclusion from the United States or denial of naturalization?</w:t>
      </w:r>
    </w:p>
    <w:p w14:paraId="0AEA01D6" w14:textId="77777777" w:rsidR="00FF0C9F" w:rsidRDefault="00FA5A0F">
      <w:pPr>
        <w:spacing w:line="768" w:lineRule="exact"/>
        <w:ind w:right="648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 xml:space="preserve">Are you pleading guilty voluntarily, of your own free will and </w:t>
      </w:r>
      <w:r>
        <w:rPr>
          <w:rFonts w:eastAsia="Times New Roman"/>
          <w:color w:val="000000"/>
          <w:sz w:val="26"/>
        </w:rPr>
        <w:t>choice? The plea is acceptable to the Court.</w:t>
      </w:r>
    </w:p>
    <w:p w14:paraId="0AEA01D7" w14:textId="77777777" w:rsidR="00FF0C9F" w:rsidRDefault="00FF0C9F">
      <w:pPr>
        <w:sectPr w:rsidR="00FF0C9F">
          <w:pgSz w:w="12240" w:h="15840"/>
          <w:pgMar w:top="1060" w:right="2144" w:bottom="1364" w:left="2136" w:header="720" w:footer="720" w:gutter="0"/>
          <w:cols w:space="720"/>
        </w:sectPr>
      </w:pPr>
    </w:p>
    <w:p w14:paraId="0AEA01D8" w14:textId="77777777" w:rsidR="00FF0C9F" w:rsidRDefault="00FA5A0F">
      <w:pPr>
        <w:numPr>
          <w:ilvl w:val="0"/>
          <w:numId w:val="1"/>
        </w:numPr>
        <w:tabs>
          <w:tab w:val="clear" w:pos="216"/>
          <w:tab w:val="left" w:pos="288"/>
        </w:tabs>
        <w:spacing w:before="11" w:line="312" w:lineRule="exact"/>
        <w:ind w:left="72"/>
        <w:jc w:val="both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lastRenderedPageBreak/>
        <w:t xml:space="preserve">See People v Conceicao, [Perez], [Sanchez], </w:t>
      </w:r>
      <w:r>
        <w:rPr>
          <w:rFonts w:eastAsia="Times New Roman"/>
          <w:color w:val="000000"/>
          <w:sz w:val="24"/>
        </w:rPr>
        <w:t>26 NY3d 375 (2015)</w:t>
      </w:r>
      <w:r>
        <w:rPr>
          <w:rFonts w:eastAsia="Times New Roman"/>
          <w:i/>
          <w:color w:val="000000"/>
          <w:sz w:val="24"/>
        </w:rPr>
        <w:t xml:space="preserve">; People v Pellegrino, </w:t>
      </w:r>
      <w:r>
        <w:rPr>
          <w:rFonts w:eastAsia="Times New Roman"/>
          <w:color w:val="000000"/>
          <w:sz w:val="24"/>
        </w:rPr>
        <w:t>26 NY3d 1063 (2015)</w:t>
      </w:r>
      <w:r>
        <w:rPr>
          <w:rFonts w:eastAsia="Times New Roman"/>
          <w:i/>
          <w:color w:val="000000"/>
          <w:sz w:val="24"/>
        </w:rPr>
        <w:t xml:space="preserve">; People v Sougou, [Thompson], </w:t>
      </w:r>
      <w:r>
        <w:rPr>
          <w:rFonts w:eastAsia="Times New Roman"/>
          <w:color w:val="000000"/>
          <w:sz w:val="24"/>
        </w:rPr>
        <w:t xml:space="preserve">26 NY3d 1052 (2015) </w:t>
      </w:r>
      <w:r>
        <w:rPr>
          <w:rFonts w:eastAsia="Times New Roman"/>
          <w:i/>
          <w:color w:val="000000"/>
          <w:sz w:val="24"/>
        </w:rPr>
        <w:t>(</w:t>
      </w:r>
      <w:r>
        <w:rPr>
          <w:rFonts w:eastAsia="Times New Roman"/>
          <w:color w:val="000000"/>
          <w:sz w:val="24"/>
        </w:rPr>
        <w:t>These cases indicate that the record should s</w:t>
      </w:r>
      <w:r>
        <w:rPr>
          <w:rFonts w:eastAsia="Times New Roman"/>
          <w:color w:val="000000"/>
          <w:sz w:val="24"/>
        </w:rPr>
        <w:t>how that the defendant is actively represented by an attorney, that the defendant had a fair opportunity to consult with his lawyer about the plea and its consequences, and, if so, that the plea is in satisfaction of a more serious charge</w:t>
      </w:r>
      <w:r>
        <w:rPr>
          <w:rFonts w:eastAsia="Times New Roman"/>
          <w:i/>
          <w:color w:val="000000"/>
          <w:sz w:val="24"/>
        </w:rPr>
        <w:t>).</w:t>
      </w:r>
    </w:p>
    <w:p w14:paraId="0AEA01D9" w14:textId="24756C18" w:rsidR="00FF0C9F" w:rsidRDefault="00FA5A0F">
      <w:pPr>
        <w:numPr>
          <w:ilvl w:val="0"/>
          <w:numId w:val="1"/>
        </w:numPr>
        <w:tabs>
          <w:tab w:val="clear" w:pos="216"/>
          <w:tab w:val="left" w:pos="288"/>
        </w:tabs>
        <w:spacing w:before="201" w:line="312" w:lineRule="exact"/>
        <w:ind w:left="72"/>
        <w:jc w:val="both"/>
        <w:textAlignment w:val="baseline"/>
        <w:rPr>
          <w:rFonts w:eastAsia="Times New Roman"/>
          <w:color w:val="000000"/>
          <w:spacing w:val="-4"/>
          <w:sz w:val="24"/>
        </w:rPr>
      </w:pPr>
      <w:r>
        <w:rPr>
          <w:rFonts w:eastAsia="Times New Roman"/>
          <w:color w:val="000000"/>
          <w:spacing w:val="-4"/>
          <w:sz w:val="24"/>
        </w:rPr>
        <w:t xml:space="preserve">The specification of the rights included within the waiver of the right to a trial are derived from </w:t>
      </w:r>
      <w:r>
        <w:rPr>
          <w:rFonts w:eastAsia="Times New Roman"/>
          <w:i/>
          <w:color w:val="000000"/>
          <w:spacing w:val="-4"/>
          <w:sz w:val="24"/>
        </w:rPr>
        <w:t>Boykin v. Alabama</w:t>
      </w:r>
      <w:r>
        <w:rPr>
          <w:rFonts w:eastAsia="Times New Roman"/>
          <w:color w:val="000000"/>
          <w:spacing w:val="-4"/>
          <w:sz w:val="24"/>
        </w:rPr>
        <w:t>, 395 U.S. 238 (1969). The Court of Appeals has held that the failure to recite those rights in haec verba will not render the plea invalid</w:t>
      </w:r>
      <w:r>
        <w:rPr>
          <w:rFonts w:eastAsia="Times New Roman"/>
          <w:color w:val="000000"/>
          <w:spacing w:val="-4"/>
          <w:sz w:val="24"/>
        </w:rPr>
        <w:t xml:space="preserve"> if “record as a whole affirmatively shows that the defendant intentionally relinquished those rights." </w:t>
      </w:r>
      <w:r>
        <w:rPr>
          <w:rFonts w:eastAsia="Times New Roman"/>
          <w:i/>
          <w:color w:val="000000"/>
          <w:spacing w:val="-4"/>
          <w:sz w:val="24"/>
        </w:rPr>
        <w:t xml:space="preserve">See </w:t>
      </w:r>
      <w:r>
        <w:rPr>
          <w:rFonts w:eastAsia="Times New Roman"/>
          <w:color w:val="000000"/>
          <w:spacing w:val="-4"/>
          <w:sz w:val="24"/>
        </w:rPr>
        <w:t>cases cited in note 1</w:t>
      </w:r>
      <w:bookmarkStart w:id="0" w:name="_GoBack"/>
      <w:bookmarkEnd w:id="0"/>
      <w:r>
        <w:rPr>
          <w:rFonts w:eastAsia="Times New Roman"/>
          <w:color w:val="000000"/>
          <w:spacing w:val="-4"/>
          <w:sz w:val="24"/>
        </w:rPr>
        <w:t>. Needless to add, it is best to advise the defendant expressly of the rights waived both for the defendant’s benefit and to a</w:t>
      </w:r>
      <w:r>
        <w:rPr>
          <w:rFonts w:eastAsia="Times New Roman"/>
          <w:color w:val="000000"/>
          <w:spacing w:val="-4"/>
          <w:sz w:val="24"/>
        </w:rPr>
        <w:t>void necessitating an appellate court having to search the record to determine whether the defendant somehow intentionally waive those rights.</w:t>
      </w:r>
    </w:p>
    <w:sectPr w:rsidR="00FF0C9F">
      <w:pgSz w:w="12240" w:h="15840"/>
      <w:pgMar w:top="1040" w:right="2138" w:bottom="9804" w:left="2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086C"/>
    <w:multiLevelType w:val="multilevel"/>
    <w:tmpl w:val="6CAC93B0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i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C9F"/>
    <w:rsid w:val="00FA5A0F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01CE"/>
  <w15:docId w15:val="{5FB4AB24-FD4F-41AD-B9C2-A0384DE8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2</cp:revision>
  <dcterms:created xsi:type="dcterms:W3CDTF">2018-09-06T14:50:00Z</dcterms:created>
  <dcterms:modified xsi:type="dcterms:W3CDTF">2018-09-06T14:50:00Z</dcterms:modified>
</cp:coreProperties>
</file>