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5E9C" w14:textId="1609F2AA"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8"/>
          <w:szCs w:val="28"/>
        </w:rPr>
      </w:pPr>
      <w:r w:rsidRPr="007342DC">
        <w:rPr>
          <w:rFonts w:ascii="Times New Roman" w:hAnsi="Times New Roman" w:cs="Times New Roman"/>
          <w:sz w:val="28"/>
          <w:szCs w:val="28"/>
          <w:lang w:val="en-CA"/>
        </w:rPr>
        <w:fldChar w:fldCharType="begin"/>
      </w:r>
      <w:r w:rsidRPr="007342DC">
        <w:rPr>
          <w:rFonts w:ascii="Times New Roman" w:hAnsi="Times New Roman" w:cs="Times New Roman"/>
          <w:sz w:val="28"/>
          <w:szCs w:val="28"/>
          <w:lang w:val="en-CA"/>
        </w:rPr>
        <w:instrText xml:space="preserve"> SEQ CHAPTER \h \r 1</w:instrText>
      </w:r>
      <w:r w:rsidRPr="007342DC">
        <w:rPr>
          <w:rFonts w:ascii="Times New Roman" w:hAnsi="Times New Roman" w:cs="Times New Roman"/>
          <w:sz w:val="28"/>
          <w:szCs w:val="28"/>
          <w:lang w:val="en-CA"/>
        </w:rPr>
        <w:fldChar w:fldCharType="end"/>
      </w:r>
      <w:r w:rsidRPr="007342DC">
        <w:rPr>
          <w:rFonts w:ascii="Times New Roman" w:hAnsi="Times New Roman" w:cs="Times New Roman"/>
          <w:b/>
          <w:bCs/>
          <w:sz w:val="28"/>
          <w:szCs w:val="28"/>
        </w:rPr>
        <w:t>1.0</w:t>
      </w:r>
      <w:r w:rsidR="00FD19AC">
        <w:rPr>
          <w:rFonts w:ascii="Times New Roman" w:hAnsi="Times New Roman" w:cs="Times New Roman"/>
          <w:b/>
          <w:bCs/>
          <w:sz w:val="28"/>
          <w:szCs w:val="28"/>
        </w:rPr>
        <w:t>1</w:t>
      </w:r>
      <w:r w:rsidRPr="007342DC">
        <w:rPr>
          <w:rFonts w:ascii="Times New Roman" w:hAnsi="Times New Roman" w:cs="Times New Roman"/>
          <w:b/>
          <w:bCs/>
          <w:sz w:val="28"/>
          <w:szCs w:val="28"/>
        </w:rPr>
        <w:t xml:space="preserve">. Scope of the Guide </w:t>
      </w:r>
    </w:p>
    <w:p w14:paraId="4945404B" w14:textId="77777777" w:rsidR="005E1626" w:rsidRPr="007342DC" w:rsidRDefault="005E1626" w:rsidP="007342DC">
      <w:pPr>
        <w:pStyle w:val="NoSpacing"/>
        <w:widowControl/>
        <w:tabs>
          <w:tab w:val="left" w:pos="1080"/>
          <w:tab w:val="left" w:pos="1440"/>
          <w:tab w:val="left" w:pos="2160"/>
          <w:tab w:val="left" w:pos="2880"/>
          <w:tab w:val="left" w:pos="3600"/>
          <w:tab w:val="left" w:pos="4320"/>
          <w:tab w:val="left" w:pos="5040"/>
          <w:tab w:val="left" w:pos="5760"/>
          <w:tab w:val="left" w:pos="6480"/>
          <w:tab w:val="left" w:pos="7200"/>
          <w:tab w:val="left" w:pos="7918"/>
        </w:tabs>
        <w:ind w:left="1080"/>
        <w:rPr>
          <w:rFonts w:ascii="Times New Roman" w:hAnsi="Times New Roman" w:cs="Times New Roman"/>
          <w:sz w:val="28"/>
          <w:szCs w:val="28"/>
        </w:rPr>
      </w:pPr>
    </w:p>
    <w:p w14:paraId="00C04AE0" w14:textId="77777777" w:rsidR="005E1626" w:rsidRPr="007342DC" w:rsidRDefault="005E1626" w:rsidP="007342DC">
      <w:pPr>
        <w:pStyle w:val="NoSpacing"/>
        <w:widowControl/>
        <w:tabs>
          <w:tab w:val="left" w:pos="1440"/>
          <w:tab w:val="left" w:pos="2160"/>
          <w:tab w:val="left" w:pos="2880"/>
          <w:tab w:val="left" w:pos="3600"/>
          <w:tab w:val="left" w:pos="4320"/>
          <w:tab w:val="left" w:pos="5040"/>
          <w:tab w:val="left" w:pos="5760"/>
          <w:tab w:val="left" w:pos="6480"/>
          <w:tab w:val="left" w:pos="7198"/>
        </w:tabs>
        <w:ind w:left="720" w:right="720"/>
        <w:rPr>
          <w:rFonts w:ascii="Times New Roman" w:hAnsi="Times New Roman" w:cs="Times New Roman"/>
          <w:sz w:val="28"/>
          <w:szCs w:val="28"/>
        </w:rPr>
      </w:pPr>
      <w:r w:rsidRPr="007342DC">
        <w:rPr>
          <w:rFonts w:ascii="Times New Roman" w:hAnsi="Times New Roman" w:cs="Times New Roman"/>
          <w:b/>
          <w:bCs/>
          <w:sz w:val="28"/>
          <w:szCs w:val="28"/>
        </w:rPr>
        <w:t>Unless a statute or decisional law prescribes a special ru</w:t>
      </w:r>
      <w:r w:rsidR="00E1308C">
        <w:rPr>
          <w:rFonts w:ascii="Times New Roman" w:hAnsi="Times New Roman" w:cs="Times New Roman"/>
          <w:b/>
          <w:bCs/>
          <w:sz w:val="28"/>
          <w:szCs w:val="28"/>
        </w:rPr>
        <w:t xml:space="preserve">le of evidence for a particular </w:t>
      </w:r>
      <w:r w:rsidRPr="007342DC">
        <w:rPr>
          <w:rFonts w:ascii="Times New Roman" w:hAnsi="Times New Roman" w:cs="Times New Roman"/>
          <w:b/>
          <w:bCs/>
          <w:sz w:val="28"/>
          <w:szCs w:val="28"/>
        </w:rPr>
        <w:t>civil or criminal proceeding, this Guide is intended to set forth the evidentiary rules applicable to pr</w:t>
      </w:r>
      <w:r w:rsidR="00BF571F">
        <w:rPr>
          <w:rFonts w:ascii="Times New Roman" w:hAnsi="Times New Roman" w:cs="Times New Roman"/>
          <w:b/>
          <w:bCs/>
          <w:sz w:val="28"/>
          <w:szCs w:val="28"/>
        </w:rPr>
        <w:t>oceedings in all courts of the S</w:t>
      </w:r>
      <w:r w:rsidRPr="007342DC">
        <w:rPr>
          <w:rFonts w:ascii="Times New Roman" w:hAnsi="Times New Roman" w:cs="Times New Roman"/>
          <w:b/>
          <w:bCs/>
          <w:sz w:val="28"/>
          <w:szCs w:val="28"/>
        </w:rPr>
        <w:t>tate of New York.</w:t>
      </w:r>
    </w:p>
    <w:p w14:paraId="6C052DBE" w14:textId="77777777" w:rsidR="005E1626" w:rsidRPr="007342DC" w:rsidRDefault="005E1626" w:rsidP="007342DC">
      <w:pPr>
        <w:pStyle w:val="NoSpacing"/>
        <w:widowControl/>
        <w:tabs>
          <w:tab w:val="left" w:pos="864"/>
          <w:tab w:val="left" w:pos="1440"/>
          <w:tab w:val="left" w:pos="2160"/>
          <w:tab w:val="left" w:pos="2880"/>
          <w:tab w:val="left" w:pos="3600"/>
          <w:tab w:val="left" w:pos="4320"/>
          <w:tab w:val="left" w:pos="5040"/>
          <w:tab w:val="left" w:pos="5760"/>
          <w:tab w:val="left" w:pos="6480"/>
          <w:tab w:val="left" w:pos="7200"/>
          <w:tab w:val="left" w:pos="7488"/>
        </w:tabs>
        <w:ind w:left="864" w:right="432"/>
        <w:rPr>
          <w:rFonts w:ascii="Times New Roman" w:hAnsi="Times New Roman" w:cs="Times New Roman"/>
          <w:sz w:val="28"/>
          <w:szCs w:val="28"/>
        </w:rPr>
      </w:pPr>
    </w:p>
    <w:p w14:paraId="1DB8BEF9" w14:textId="77777777" w:rsidR="005E1626" w:rsidRPr="007342DC" w:rsidRDefault="005E1626" w:rsidP="007342DC">
      <w:pPr>
        <w:pStyle w:val="ListParagra"/>
        <w:widowControl/>
        <w:tabs>
          <w:tab w:val="left" w:pos="2880"/>
          <w:tab w:val="left" w:pos="3600"/>
          <w:tab w:val="left" w:pos="4320"/>
          <w:tab w:val="left" w:pos="5040"/>
          <w:tab w:val="left" w:pos="5760"/>
          <w:tab w:val="left" w:pos="6480"/>
          <w:tab w:val="left" w:pos="7200"/>
          <w:tab w:val="left" w:pos="7918"/>
        </w:tabs>
        <w:spacing w:after="0" w:line="240" w:lineRule="auto"/>
        <w:ind w:left="0"/>
        <w:jc w:val="center"/>
        <w:rPr>
          <w:rFonts w:ascii="Times New Roman" w:hAnsi="Times New Roman" w:cs="Times New Roman"/>
          <w:b/>
          <w:bCs/>
          <w:sz w:val="24"/>
          <w:szCs w:val="24"/>
        </w:rPr>
      </w:pPr>
      <w:r w:rsidRPr="007342DC">
        <w:rPr>
          <w:rFonts w:ascii="Times New Roman" w:hAnsi="Times New Roman" w:cs="Times New Roman"/>
          <w:b/>
          <w:bCs/>
          <w:sz w:val="24"/>
          <w:szCs w:val="24"/>
        </w:rPr>
        <w:t>N</w:t>
      </w:r>
      <w:r w:rsidR="007342DC" w:rsidRPr="007342DC">
        <w:rPr>
          <w:rFonts w:ascii="Times New Roman" w:hAnsi="Times New Roman" w:cs="Times New Roman"/>
          <w:b/>
          <w:bCs/>
          <w:sz w:val="24"/>
          <w:szCs w:val="24"/>
        </w:rPr>
        <w:t>ote</w:t>
      </w:r>
    </w:p>
    <w:p w14:paraId="53831984" w14:textId="77777777" w:rsidR="007342DC" w:rsidRPr="007342DC" w:rsidRDefault="007342DC" w:rsidP="007342DC">
      <w:pPr>
        <w:pStyle w:val="ListParagra"/>
        <w:widowControl/>
        <w:tabs>
          <w:tab w:val="left" w:pos="2880"/>
          <w:tab w:val="left" w:pos="3600"/>
          <w:tab w:val="left" w:pos="4320"/>
          <w:tab w:val="left" w:pos="5040"/>
          <w:tab w:val="left" w:pos="5760"/>
          <w:tab w:val="left" w:pos="6480"/>
          <w:tab w:val="left" w:pos="7200"/>
          <w:tab w:val="left" w:pos="7918"/>
        </w:tabs>
        <w:spacing w:after="0" w:line="240" w:lineRule="auto"/>
        <w:ind w:left="0"/>
        <w:jc w:val="center"/>
        <w:rPr>
          <w:rFonts w:ascii="Times New Roman" w:hAnsi="Times New Roman" w:cs="Times New Roman"/>
          <w:sz w:val="24"/>
          <w:szCs w:val="24"/>
        </w:rPr>
      </w:pPr>
    </w:p>
    <w:p w14:paraId="6776CC98" w14:textId="77777777" w:rsidR="005E1626" w:rsidRPr="007342DC" w:rsidRDefault="007342DC"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342DC">
        <w:rPr>
          <w:rFonts w:ascii="Times New Roman" w:hAnsi="Times New Roman" w:cs="Times New Roman"/>
          <w:sz w:val="24"/>
          <w:szCs w:val="24"/>
        </w:rPr>
        <w:tab/>
      </w:r>
      <w:r w:rsidR="005E1626" w:rsidRPr="007342DC">
        <w:rPr>
          <w:rFonts w:ascii="Times New Roman" w:hAnsi="Times New Roman" w:cs="Times New Roman"/>
          <w:sz w:val="24"/>
          <w:szCs w:val="24"/>
        </w:rPr>
        <w:t>This rule sets forth the current practice in New York courts regarding the application of New York’s rules of evidence.</w:t>
      </w:r>
    </w:p>
    <w:p w14:paraId="5393D5C9"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697D4F71"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342DC">
        <w:rPr>
          <w:rFonts w:ascii="Times New Roman" w:hAnsi="Times New Roman" w:cs="Times New Roman"/>
          <w:sz w:val="24"/>
          <w:szCs w:val="24"/>
        </w:rPr>
        <w:tab/>
      </w:r>
      <w:r w:rsidRPr="007342DC">
        <w:rPr>
          <w:rFonts w:ascii="Times New Roman" w:hAnsi="Times New Roman" w:cs="Times New Roman"/>
          <w:color w:val="212121"/>
          <w:sz w:val="24"/>
          <w:szCs w:val="24"/>
        </w:rPr>
        <w:t>Statutes setting forth the governing procedures for various courts and proceedings include the following:</w:t>
      </w:r>
    </w:p>
    <w:p w14:paraId="075D9093"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2B8007CF"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sidRPr="007342DC">
        <w:rPr>
          <w:rFonts w:ascii="Times New Roman" w:hAnsi="Times New Roman" w:cs="Times New Roman"/>
          <w:color w:val="212121"/>
          <w:sz w:val="24"/>
          <w:szCs w:val="24"/>
        </w:rPr>
        <w:t>Civil Practice Law and Rules: CPLR 101 (“The civil practice law and rules shall govern the procedure in civil judicial proceedings in all courts of the state and before all judges, except where the procedure is regulated by inconsistent statute”); CPLR 105 (d) (“[c]</w:t>
      </w:r>
      <w:proofErr w:type="spellStart"/>
      <w:r w:rsidRPr="007342DC">
        <w:rPr>
          <w:rFonts w:ascii="Times New Roman" w:hAnsi="Times New Roman" w:cs="Times New Roman"/>
          <w:color w:val="212121"/>
          <w:sz w:val="24"/>
          <w:szCs w:val="24"/>
        </w:rPr>
        <w:t>ivil</w:t>
      </w:r>
      <w:proofErr w:type="spellEnd"/>
      <w:r w:rsidRPr="007342DC">
        <w:rPr>
          <w:rFonts w:ascii="Times New Roman" w:hAnsi="Times New Roman" w:cs="Times New Roman"/>
          <w:color w:val="212121"/>
          <w:sz w:val="24"/>
          <w:szCs w:val="24"/>
        </w:rPr>
        <w:t xml:space="preserve"> judicial proceeding” is a “</w:t>
      </w:r>
      <w:proofErr w:type="gramStart"/>
      <w:r w:rsidRPr="007342DC">
        <w:rPr>
          <w:rFonts w:ascii="Times New Roman" w:hAnsi="Times New Roman" w:cs="Times New Roman"/>
          <w:color w:val="212121"/>
          <w:sz w:val="24"/>
          <w:szCs w:val="24"/>
        </w:rPr>
        <w:t>prosecution</w:t>
      </w:r>
      <w:proofErr w:type="gramEnd"/>
      <w:r w:rsidRPr="007342DC">
        <w:rPr>
          <w:rFonts w:ascii="Times New Roman" w:hAnsi="Times New Roman" w:cs="Times New Roman"/>
          <w:color w:val="212121"/>
          <w:sz w:val="24"/>
          <w:szCs w:val="24"/>
        </w:rPr>
        <w:t>, other than a criminal action, of an independent application to a court for relief”); CPLR article 45 (“Evidence”).</w:t>
      </w:r>
    </w:p>
    <w:p w14:paraId="69B850B6"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p>
    <w:p w14:paraId="5EFD3F04"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sidRPr="007342DC">
        <w:rPr>
          <w:rFonts w:ascii="Times New Roman" w:hAnsi="Times New Roman" w:cs="Times New Roman"/>
          <w:color w:val="212121"/>
          <w:sz w:val="24"/>
          <w:szCs w:val="24"/>
        </w:rPr>
        <w:t>Criminal Procedure Law: CPL 60.10 (“Unless otherwise provided by statute or by judicially established rules of evidence applicable to criminal cases, the rules of evidence applicable to civil cases are, where appropriate, also applicable to criminal proceedings”).</w:t>
      </w:r>
    </w:p>
    <w:p w14:paraId="346761AF"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p>
    <w:p w14:paraId="7D1B3942"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sidRPr="007342DC">
        <w:rPr>
          <w:rFonts w:ascii="Times New Roman" w:hAnsi="Times New Roman" w:cs="Times New Roman"/>
          <w:color w:val="212121"/>
          <w:sz w:val="24"/>
          <w:szCs w:val="24"/>
        </w:rPr>
        <w:t>Surrogate’s Court Procedure Act: SCPA 102 (“The CPLR and other laws applicable to practice and procedure apply in the surrogate's court except where other procedure is provided by this act”)</w:t>
      </w:r>
      <w:r w:rsidR="00E1308C">
        <w:rPr>
          <w:rFonts w:ascii="Times New Roman" w:hAnsi="Times New Roman" w:cs="Times New Roman"/>
          <w:color w:val="212121"/>
          <w:sz w:val="24"/>
          <w:szCs w:val="24"/>
        </w:rPr>
        <w:t xml:space="preserve"> </w:t>
      </w:r>
      <w:r w:rsidRPr="007342DC">
        <w:rPr>
          <w:rFonts w:ascii="Times New Roman" w:hAnsi="Times New Roman" w:cs="Times New Roman"/>
          <w:color w:val="212121"/>
          <w:sz w:val="24"/>
          <w:szCs w:val="24"/>
        </w:rPr>
        <w:t>(</w:t>
      </w:r>
      <w:r w:rsidR="00E1308C">
        <w:rPr>
          <w:rFonts w:ascii="Times New Roman" w:hAnsi="Times New Roman" w:cs="Times New Roman"/>
          <w:i/>
          <w:iCs/>
          <w:color w:val="212121"/>
          <w:sz w:val="24"/>
          <w:szCs w:val="24"/>
        </w:rPr>
        <w:t>s</w:t>
      </w:r>
      <w:r w:rsidRPr="007342DC">
        <w:rPr>
          <w:rFonts w:ascii="Times New Roman" w:hAnsi="Times New Roman" w:cs="Times New Roman"/>
          <w:i/>
          <w:iCs/>
          <w:color w:val="212121"/>
          <w:sz w:val="24"/>
          <w:szCs w:val="24"/>
        </w:rPr>
        <w:t>ee Matter of Martin</w:t>
      </w:r>
      <w:r w:rsidRPr="007342DC">
        <w:rPr>
          <w:rFonts w:ascii="Times New Roman" w:hAnsi="Times New Roman" w:cs="Times New Roman"/>
          <w:color w:val="212121"/>
          <w:sz w:val="24"/>
          <w:szCs w:val="24"/>
        </w:rPr>
        <w:t>, 80 Misc 17, 26 [Sur Ct, NY County 1913] [“The rules of evidence applied in this court . . . are now uniform with the rules applied in other tribunals of the state”]).</w:t>
      </w:r>
    </w:p>
    <w:p w14:paraId="18708C25" w14:textId="77777777" w:rsidR="005E1626" w:rsidRPr="007342DC" w:rsidRDefault="005E1626" w:rsidP="005701CC">
      <w:pPr>
        <w:pStyle w:val="NoSpacing"/>
        <w:widowControl/>
        <w:tabs>
          <w:tab w:val="left" w:pos="0"/>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p>
    <w:p w14:paraId="30BD21F6" w14:textId="77777777" w:rsidR="005E1626" w:rsidRPr="007342DC" w:rsidRDefault="005E1626" w:rsidP="005701CC">
      <w:pPr>
        <w:pStyle w:val="NoSpacing"/>
        <w:widowControl/>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cs="Times New Roman"/>
          <w:sz w:val="24"/>
          <w:szCs w:val="24"/>
        </w:rPr>
      </w:pPr>
      <w:r w:rsidRPr="007342DC">
        <w:rPr>
          <w:rFonts w:ascii="Times New Roman" w:hAnsi="Times New Roman" w:cs="Times New Roman"/>
          <w:color w:val="212121"/>
          <w:sz w:val="24"/>
          <w:szCs w:val="24"/>
        </w:rPr>
        <w:t>Family Court Act: Family Court Act § 165 (a) (“Where the method of procedure in any proceeding in which the family court has jurisdiction is not prescribed by this act, the procedure shall be in accord with rules adopted by the administrative board of the judicial conference or, if none has been adopted, with the provisions of the civil practice act to the extent they are suitable to the proceeding involved”). (</w:t>
      </w:r>
      <w:r w:rsidRPr="007342DC">
        <w:rPr>
          <w:rFonts w:ascii="Times New Roman" w:hAnsi="Times New Roman" w:cs="Times New Roman"/>
          <w:i/>
          <w:iCs/>
          <w:color w:val="212121"/>
          <w:sz w:val="24"/>
          <w:szCs w:val="24"/>
        </w:rPr>
        <w:t>See also</w:t>
      </w:r>
      <w:r w:rsidRPr="007342DC">
        <w:rPr>
          <w:rFonts w:ascii="Times New Roman" w:hAnsi="Times New Roman" w:cs="Times New Roman"/>
          <w:sz w:val="24"/>
          <w:szCs w:val="24"/>
        </w:rPr>
        <w:t xml:space="preserve"> </w:t>
      </w:r>
      <w:r w:rsidRPr="007342DC">
        <w:rPr>
          <w:rStyle w:val="Hyperlink"/>
          <w:rFonts w:ascii="Times New Roman" w:hAnsi="Times New Roman"/>
          <w:i/>
          <w:iCs/>
          <w:color w:val="auto"/>
          <w:sz w:val="24"/>
          <w:szCs w:val="24"/>
          <w:u w:val="none"/>
        </w:rPr>
        <w:t>Matter of Schwartz v Schwartz</w:t>
      </w:r>
      <w:r w:rsidRPr="007342DC">
        <w:rPr>
          <w:rStyle w:val="Hyperlink"/>
          <w:rFonts w:ascii="Times New Roman" w:hAnsi="Times New Roman"/>
          <w:color w:val="auto"/>
          <w:sz w:val="24"/>
          <w:szCs w:val="24"/>
          <w:u w:val="none"/>
        </w:rPr>
        <w:t>,</w:t>
      </w:r>
      <w:r w:rsidR="00E1308C">
        <w:rPr>
          <w:rStyle w:val="Hyperlink"/>
          <w:rFonts w:ascii="Times New Roman" w:hAnsi="Times New Roman"/>
          <w:color w:val="auto"/>
          <w:sz w:val="24"/>
          <w:szCs w:val="24"/>
          <w:u w:val="none"/>
        </w:rPr>
        <w:t xml:space="preserve"> </w:t>
      </w:r>
      <w:r w:rsidRPr="007342DC">
        <w:rPr>
          <w:rStyle w:val="Hyperlink"/>
          <w:rFonts w:ascii="Times New Roman" w:hAnsi="Times New Roman"/>
          <w:color w:val="auto"/>
          <w:sz w:val="24"/>
          <w:szCs w:val="24"/>
          <w:u w:val="none"/>
        </w:rPr>
        <w:t>23 AD2d 204, 206 [1st Dept 1965</w:t>
      </w:r>
      <w:r w:rsidR="00E1308C">
        <w:rPr>
          <w:rStyle w:val="Hyperlink"/>
          <w:rFonts w:ascii="Times New Roman" w:hAnsi="Times New Roman"/>
          <w:color w:val="auto"/>
          <w:sz w:val="24"/>
          <w:szCs w:val="24"/>
          <w:u w:val="none"/>
        </w:rPr>
        <w:t xml:space="preserve">] </w:t>
      </w:r>
      <w:r w:rsidRPr="007342DC">
        <w:rPr>
          <w:rFonts w:ascii="Times New Roman" w:hAnsi="Times New Roman" w:cs="Times New Roman"/>
          <w:color w:val="212121"/>
          <w:sz w:val="24"/>
          <w:szCs w:val="24"/>
        </w:rPr>
        <w:t xml:space="preserve">[“the determination of when it is ‘appropriate’ to apply the provisions of the CPLR to the numerous and </w:t>
      </w:r>
      <w:r w:rsidRPr="007342DC">
        <w:rPr>
          <w:rFonts w:ascii="Times New Roman" w:hAnsi="Times New Roman" w:cs="Times New Roman"/>
          <w:color w:val="212121"/>
          <w:sz w:val="24"/>
          <w:szCs w:val="24"/>
        </w:rPr>
        <w:lastRenderedPageBreak/>
        <w:t>unusual situations which will arise in the Family Court will depend upon the circumstances of the cases as they arise”].)</w:t>
      </w:r>
    </w:p>
    <w:p w14:paraId="62CCAEE2" w14:textId="77777777" w:rsidR="005E1626" w:rsidRPr="007342DC" w:rsidRDefault="005E1626" w:rsidP="007342DC">
      <w:pPr>
        <w:pStyle w:val="NoSpacing"/>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615E101B" w14:textId="77777777" w:rsidR="005E1626" w:rsidRPr="007342DC" w:rsidRDefault="007342DC"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342DC">
        <w:rPr>
          <w:rFonts w:ascii="Times New Roman" w:hAnsi="Times New Roman" w:cs="Times New Roman"/>
          <w:sz w:val="24"/>
          <w:szCs w:val="24"/>
        </w:rPr>
        <w:tab/>
      </w:r>
      <w:r w:rsidR="005E1626" w:rsidRPr="007342DC">
        <w:rPr>
          <w:rFonts w:ascii="Times New Roman" w:hAnsi="Times New Roman" w:cs="Times New Roman"/>
          <w:sz w:val="24"/>
          <w:szCs w:val="24"/>
        </w:rPr>
        <w:t>This Guide does not attempt to describe all proceedings in which a particular</w:t>
      </w:r>
      <w:r w:rsidR="00E1308C">
        <w:rPr>
          <w:rFonts w:ascii="Times New Roman" w:hAnsi="Times New Roman" w:cs="Times New Roman"/>
          <w:sz w:val="24"/>
          <w:szCs w:val="24"/>
        </w:rPr>
        <w:t xml:space="preserve"> </w:t>
      </w:r>
      <w:r w:rsidR="005E1626" w:rsidRPr="007342DC">
        <w:rPr>
          <w:rFonts w:ascii="Times New Roman" w:hAnsi="Times New Roman" w:cs="Times New Roman"/>
          <w:sz w:val="24"/>
          <w:szCs w:val="24"/>
        </w:rPr>
        <w:t xml:space="preserve">evidentiary rule may be inapplicable </w:t>
      </w:r>
      <w:proofErr w:type="gramStart"/>
      <w:r w:rsidR="005E1626" w:rsidRPr="007342DC">
        <w:rPr>
          <w:rFonts w:ascii="Times New Roman" w:hAnsi="Times New Roman" w:cs="Times New Roman"/>
          <w:sz w:val="24"/>
          <w:szCs w:val="24"/>
        </w:rPr>
        <w:t>as a result of</w:t>
      </w:r>
      <w:proofErr w:type="gramEnd"/>
      <w:r w:rsidR="005E1626" w:rsidRPr="007342DC">
        <w:rPr>
          <w:rFonts w:ascii="Times New Roman" w:hAnsi="Times New Roman" w:cs="Times New Roman"/>
          <w:sz w:val="24"/>
          <w:szCs w:val="24"/>
        </w:rPr>
        <w:t xml:space="preserve"> statutory law. Examples of some of the judicial proceedings in which the rules of evidence, in whole or part, are deemed inapplicable include: CPL 400.30 (4) (exclusionary rules of evidence inapplicable in hearings determining the amount of fines); CPL 710.60 (4) (hearsay admissible in suppression hearings); </w:t>
      </w:r>
      <w:r w:rsidR="005E1626" w:rsidRPr="007342DC">
        <w:rPr>
          <w:rFonts w:ascii="Times New Roman" w:hAnsi="Times New Roman" w:cs="Times New Roman"/>
          <w:color w:val="212121"/>
          <w:sz w:val="24"/>
          <w:szCs w:val="24"/>
        </w:rPr>
        <w:t xml:space="preserve">Correction Law § 168-n (3) (as set forth in </w:t>
      </w:r>
      <w:r w:rsidR="005E1626" w:rsidRPr="007342DC">
        <w:rPr>
          <w:rFonts w:ascii="Times New Roman" w:hAnsi="Times New Roman" w:cs="Times New Roman"/>
          <w:i/>
          <w:iCs/>
          <w:color w:val="212121"/>
          <w:sz w:val="24"/>
          <w:szCs w:val="24"/>
        </w:rPr>
        <w:t>People v Mingo</w:t>
      </w:r>
      <w:r w:rsidR="005E1626" w:rsidRPr="007342DC">
        <w:rPr>
          <w:rFonts w:ascii="Times New Roman" w:hAnsi="Times New Roman" w:cs="Times New Roman"/>
          <w:color w:val="212121"/>
          <w:sz w:val="24"/>
          <w:szCs w:val="24"/>
        </w:rPr>
        <w:t>, 12 NY3d 563 [2009],</w:t>
      </w:r>
      <w:r w:rsidR="001C7C1C">
        <w:rPr>
          <w:rFonts w:ascii="Times New Roman" w:hAnsi="Times New Roman" w:cs="Times New Roman"/>
          <w:color w:val="212121"/>
          <w:sz w:val="24"/>
          <w:szCs w:val="24"/>
        </w:rPr>
        <w:t xml:space="preserve"> </w:t>
      </w:r>
      <w:r w:rsidR="005E1626" w:rsidRPr="007342DC">
        <w:rPr>
          <w:rFonts w:ascii="Times New Roman" w:hAnsi="Times New Roman" w:cs="Times New Roman"/>
          <w:color w:val="212121"/>
          <w:sz w:val="24"/>
          <w:szCs w:val="24"/>
        </w:rPr>
        <w:t xml:space="preserve">“reliable hearsay” is admissible when determining a sex offender registration level); </w:t>
      </w:r>
      <w:r w:rsidR="005E1626" w:rsidRPr="007342DC">
        <w:rPr>
          <w:rFonts w:ascii="Times New Roman" w:hAnsi="Times New Roman" w:cs="Times New Roman"/>
          <w:sz w:val="24"/>
          <w:szCs w:val="24"/>
        </w:rPr>
        <w:t xml:space="preserve">Mental Hygiene Law § 81.12 (court may waive the rules of evidence for good cause in Mental Hygiene Law art 81 appointment of a guardian proceeding); UJCA 1804 (rules of evidence inapplicable in small claims hearings). </w:t>
      </w:r>
    </w:p>
    <w:p w14:paraId="709CCD3F"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rPr>
          <w:rFonts w:ascii="Times New Roman" w:hAnsi="Times New Roman" w:cs="Times New Roman"/>
          <w:sz w:val="24"/>
          <w:szCs w:val="24"/>
        </w:rPr>
      </w:pPr>
    </w:p>
    <w:p w14:paraId="4A7AEA3D" w14:textId="77777777" w:rsidR="005E1626" w:rsidRPr="007342DC" w:rsidRDefault="007342DC"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342DC">
        <w:rPr>
          <w:rFonts w:ascii="Times New Roman" w:hAnsi="Times New Roman" w:cs="Times New Roman"/>
          <w:sz w:val="24"/>
          <w:szCs w:val="24"/>
        </w:rPr>
        <w:tab/>
      </w:r>
      <w:r w:rsidR="005E1626" w:rsidRPr="007342DC">
        <w:rPr>
          <w:rFonts w:ascii="Times New Roman" w:hAnsi="Times New Roman" w:cs="Times New Roman"/>
          <w:sz w:val="24"/>
          <w:szCs w:val="24"/>
        </w:rPr>
        <w:t xml:space="preserve">Some statutes set forth specific evidentiary rules to be applied in certain proceedings, including: CPL 180.60 (proceedings upon a felony complaint); CPL 400.21 (second felony offender hearing); CPL 410.70 (revocation of probation hearing); Domestic Relations Law § 144 (admissions in an action for annulment); Family Court Act § 531 (corroboration in paternity proceedings); Family Court Act § 624 (termination of parental rights); Family Court Act § 834 (proceedings involving family offenses); Family Court Act § 915 (confidentiality of statements made in conciliation proceedings); Family Court Act § 1046 (a) (vii) (specified privileges inapplicable in child protective proceeding). </w:t>
      </w:r>
    </w:p>
    <w:p w14:paraId="687905D7"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rPr>
          <w:rFonts w:ascii="Times New Roman" w:hAnsi="Times New Roman" w:cs="Times New Roman"/>
          <w:sz w:val="24"/>
          <w:szCs w:val="24"/>
        </w:rPr>
      </w:pPr>
    </w:p>
    <w:p w14:paraId="05E20797" w14:textId="77777777" w:rsidR="005E1626" w:rsidRPr="007342DC" w:rsidRDefault="007342DC"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342DC">
        <w:rPr>
          <w:rFonts w:ascii="Times New Roman" w:hAnsi="Times New Roman" w:cs="Times New Roman"/>
          <w:sz w:val="24"/>
          <w:szCs w:val="24"/>
        </w:rPr>
        <w:tab/>
      </w:r>
      <w:r w:rsidR="005E1626" w:rsidRPr="007342DC">
        <w:rPr>
          <w:rFonts w:ascii="Times New Roman" w:hAnsi="Times New Roman" w:cs="Times New Roman"/>
          <w:sz w:val="24"/>
          <w:szCs w:val="24"/>
        </w:rPr>
        <w:t xml:space="preserve">Other statutes provide the rules of evidence are to apply to certain proceedings: CPL 190.30 (grand jury proceedings); Family Court Act § </w:t>
      </w:r>
      <w:r w:rsidR="005E1626" w:rsidRPr="007342DC">
        <w:rPr>
          <w:rFonts w:ascii="Times New Roman" w:hAnsi="Times New Roman" w:cs="Times New Roman"/>
          <w:color w:val="212121"/>
          <w:sz w:val="24"/>
          <w:szCs w:val="24"/>
        </w:rPr>
        <w:t xml:space="preserve">439 (proceedings conducted by support magistrates); Mental Hygiene Law </w:t>
      </w:r>
      <w:r w:rsidR="005E1626" w:rsidRPr="007342DC">
        <w:rPr>
          <w:rFonts w:ascii="Times New Roman" w:hAnsi="Times New Roman" w:cs="Times New Roman"/>
          <w:sz w:val="24"/>
          <w:szCs w:val="24"/>
        </w:rPr>
        <w:t>§</w:t>
      </w:r>
      <w:r w:rsidR="005E1626" w:rsidRPr="007342DC">
        <w:rPr>
          <w:rFonts w:ascii="Times New Roman" w:hAnsi="Times New Roman" w:cs="Times New Roman"/>
          <w:color w:val="212121"/>
          <w:sz w:val="24"/>
          <w:szCs w:val="24"/>
        </w:rPr>
        <w:t xml:space="preserve"> 10.07 (c) (CPLR art 45 applies in Mental Hygiene Law art 10 proceedings).</w:t>
      </w:r>
    </w:p>
    <w:p w14:paraId="4B49D058" w14:textId="77777777" w:rsidR="005E1626" w:rsidRPr="007342DC" w:rsidRDefault="005E1626" w:rsidP="007342D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64"/>
        </w:tabs>
        <w:ind w:right="-144" w:firstLine="720"/>
        <w:rPr>
          <w:rFonts w:ascii="Times New Roman" w:hAnsi="Times New Roman" w:cs="Times New Roman"/>
          <w:sz w:val="24"/>
          <w:szCs w:val="24"/>
        </w:rPr>
      </w:pPr>
    </w:p>
    <w:p w14:paraId="69CAAB6A" w14:textId="77777777" w:rsidR="005E1626" w:rsidRPr="007342DC" w:rsidRDefault="007342DC" w:rsidP="007342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7342DC">
        <w:rPr>
          <w:color w:val="212121"/>
          <w:sz w:val="24"/>
          <w:szCs w:val="24"/>
        </w:rPr>
        <w:tab/>
      </w:r>
      <w:r w:rsidR="005E1626" w:rsidRPr="007342DC">
        <w:rPr>
          <w:color w:val="212121"/>
          <w:sz w:val="24"/>
          <w:szCs w:val="24"/>
        </w:rPr>
        <w:t>It should also be noted that the Court of Appeals has held that in certain proceedings the constitutional due process requirement may affect the admission of evidence. (</w:t>
      </w:r>
      <w:r w:rsidR="005E1626" w:rsidRPr="007342DC">
        <w:rPr>
          <w:i/>
          <w:iCs/>
          <w:color w:val="212121"/>
          <w:sz w:val="24"/>
          <w:szCs w:val="24"/>
        </w:rPr>
        <w:t>E.g. Matter of State of New York v Floyd Y.</w:t>
      </w:r>
      <w:r w:rsidR="005E1626" w:rsidRPr="007342DC">
        <w:rPr>
          <w:color w:val="212121"/>
          <w:sz w:val="24"/>
          <w:szCs w:val="24"/>
        </w:rPr>
        <w:t xml:space="preserve">, 22 NY3d 95, 106 [2013] [“A requirement that evidence meet a test of reliability and substantial relevance is necessary to protect the important liberty interests at stake in </w:t>
      </w:r>
      <w:r w:rsidR="001C7C1C">
        <w:rPr>
          <w:color w:val="212121"/>
          <w:sz w:val="24"/>
          <w:szCs w:val="24"/>
        </w:rPr>
        <w:t>(</w:t>
      </w:r>
      <w:r w:rsidR="005E1626" w:rsidRPr="007342DC">
        <w:rPr>
          <w:color w:val="212121"/>
          <w:sz w:val="24"/>
          <w:szCs w:val="24"/>
        </w:rPr>
        <w:t>Mental Hygiene Law</w:t>
      </w:r>
      <w:r w:rsidR="001C7C1C">
        <w:rPr>
          <w:color w:val="212121"/>
          <w:sz w:val="24"/>
          <w:szCs w:val="24"/>
        </w:rPr>
        <w:t>)</w:t>
      </w:r>
      <w:r w:rsidR="005E1626" w:rsidRPr="007342DC">
        <w:rPr>
          <w:color w:val="212121"/>
          <w:sz w:val="24"/>
          <w:szCs w:val="24"/>
        </w:rPr>
        <w:t xml:space="preserve"> article 10 proceedings”];</w:t>
      </w:r>
      <w:r w:rsidR="005E1626" w:rsidRPr="007342DC">
        <w:rPr>
          <w:sz w:val="24"/>
          <w:szCs w:val="24"/>
        </w:rPr>
        <w:t xml:space="preserve"> </w:t>
      </w:r>
      <w:r w:rsidR="005E1626" w:rsidRPr="007342DC">
        <w:rPr>
          <w:i/>
          <w:iCs/>
          <w:sz w:val="24"/>
          <w:szCs w:val="24"/>
        </w:rPr>
        <w:t>People v Robinson</w:t>
      </w:r>
      <w:r w:rsidR="005E1626" w:rsidRPr="007342DC">
        <w:rPr>
          <w:sz w:val="24"/>
          <w:szCs w:val="24"/>
        </w:rPr>
        <w:t xml:space="preserve">, 89 NY2d 648 [1997] [a defendant’s constitutional right to due process requires the admission of hearsay evidence consisting of </w:t>
      </w:r>
      <w:r w:rsidR="001C7C1C">
        <w:rPr>
          <w:sz w:val="24"/>
          <w:szCs w:val="24"/>
        </w:rPr>
        <w:t>g</w:t>
      </w:r>
      <w:r w:rsidR="005E1626" w:rsidRPr="007342DC">
        <w:rPr>
          <w:sz w:val="24"/>
          <w:szCs w:val="24"/>
        </w:rPr>
        <w:t xml:space="preserve">rand </w:t>
      </w:r>
      <w:r w:rsidR="001C7C1C">
        <w:rPr>
          <w:sz w:val="24"/>
          <w:szCs w:val="24"/>
        </w:rPr>
        <w:t>j</w:t>
      </w:r>
      <w:r w:rsidR="005E1626" w:rsidRPr="007342DC">
        <w:rPr>
          <w:sz w:val="24"/>
          <w:szCs w:val="24"/>
        </w:rPr>
        <w:t>ury testimony when the declarant has become unavailable to testify at trial and the hearsay is material, exculpatory and has sufficient indicia of reliability].)</w:t>
      </w:r>
    </w:p>
    <w:sectPr w:rsidR="005E1626" w:rsidRPr="007342DC" w:rsidSect="007342DC">
      <w:footerReference w:type="default" r:id="rId7"/>
      <w:type w:val="continuous"/>
      <w:pgSz w:w="12240" w:h="15840"/>
      <w:pgMar w:top="1440" w:right="2160" w:bottom="1440" w:left="216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C5EA" w14:textId="77777777" w:rsidR="00CD79F6" w:rsidRDefault="00CD79F6" w:rsidP="007342DC">
      <w:r>
        <w:separator/>
      </w:r>
    </w:p>
  </w:endnote>
  <w:endnote w:type="continuationSeparator" w:id="0">
    <w:p w14:paraId="465ACBA4" w14:textId="77777777" w:rsidR="00CD79F6" w:rsidRDefault="00CD79F6" w:rsidP="007342DC">
      <w:r>
        <w:continuationSeparator/>
      </w:r>
    </w:p>
  </w:endnote>
  <w:endnote w:type="continuationNotice" w:id="1">
    <w:p w14:paraId="404DF392" w14:textId="77777777" w:rsidR="00CD79F6" w:rsidRDefault="00CD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A69" w14:textId="77777777" w:rsidR="007342DC" w:rsidRDefault="007342DC">
    <w:pPr>
      <w:pStyle w:val="Footer"/>
      <w:jc w:val="center"/>
    </w:pPr>
    <w:r>
      <w:fldChar w:fldCharType="begin"/>
    </w:r>
    <w:r>
      <w:instrText xml:space="preserve"> PAGE   \* MERGEFORMAT </w:instrText>
    </w:r>
    <w:r>
      <w:fldChar w:fldCharType="separate"/>
    </w:r>
    <w:r w:rsidR="005701CC">
      <w:rPr>
        <w:noProof/>
      </w:rPr>
      <w:t>2</w:t>
    </w:r>
    <w:r>
      <w:fldChar w:fldCharType="end"/>
    </w:r>
  </w:p>
  <w:p w14:paraId="24D318C5" w14:textId="77777777" w:rsidR="007342DC" w:rsidRDefault="0073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5077" w14:textId="77777777" w:rsidR="00CD79F6" w:rsidRDefault="00CD79F6" w:rsidP="007342DC">
      <w:r>
        <w:separator/>
      </w:r>
    </w:p>
  </w:footnote>
  <w:footnote w:type="continuationSeparator" w:id="0">
    <w:p w14:paraId="4A86D268" w14:textId="77777777" w:rsidR="00CD79F6" w:rsidRDefault="00CD79F6" w:rsidP="007342DC">
      <w:r>
        <w:continuationSeparator/>
      </w:r>
    </w:p>
  </w:footnote>
  <w:footnote w:type="continuationNotice" w:id="1">
    <w:p w14:paraId="6714633A" w14:textId="77777777" w:rsidR="00CD79F6" w:rsidRDefault="00CD79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DC"/>
    <w:rsid w:val="00033142"/>
    <w:rsid w:val="001C7C1C"/>
    <w:rsid w:val="001F56D9"/>
    <w:rsid w:val="00233D79"/>
    <w:rsid w:val="00427F4B"/>
    <w:rsid w:val="005701CC"/>
    <w:rsid w:val="005E1626"/>
    <w:rsid w:val="005F4CDA"/>
    <w:rsid w:val="006F4979"/>
    <w:rsid w:val="007342DC"/>
    <w:rsid w:val="007F11EC"/>
    <w:rsid w:val="009E1A40"/>
    <w:rsid w:val="00BF571F"/>
    <w:rsid w:val="00CD79F6"/>
    <w:rsid w:val="00E1308C"/>
    <w:rsid w:val="00EA2F36"/>
    <w:rsid w:val="00FD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52D93"/>
  <w14:defaultImageDpi w14:val="0"/>
  <w15:docId w15:val="{7F7844E2-BF71-4504-A8F7-CF5E7B11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563C1"/>
      <w:u w:val="single"/>
    </w:rPr>
  </w:style>
  <w:style w:type="paragraph" w:customStyle="1" w:styleId="ListParagra">
    <w:name w:val="List Paragra"/>
    <w:uiPriority w:val="99"/>
    <w:pPr>
      <w:widowControl w:val="0"/>
      <w:autoSpaceDE w:val="0"/>
      <w:autoSpaceDN w:val="0"/>
      <w:adjustRightInd w:val="0"/>
      <w:spacing w:after="159" w:line="258" w:lineRule="auto"/>
      <w:ind w:left="720"/>
      <w:jc w:val="both"/>
    </w:pPr>
    <w:rPr>
      <w:rFonts w:ascii="Calibri" w:hAnsi="Calibri" w:cs="Calibri"/>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styleId="Header">
    <w:name w:val="header"/>
    <w:basedOn w:val="Normal"/>
    <w:link w:val="HeaderChar"/>
    <w:uiPriority w:val="99"/>
    <w:unhideWhenUsed/>
    <w:rsid w:val="007342DC"/>
    <w:pPr>
      <w:tabs>
        <w:tab w:val="center" w:pos="4680"/>
        <w:tab w:val="right" w:pos="9360"/>
      </w:tabs>
    </w:pPr>
  </w:style>
  <w:style w:type="character" w:customStyle="1" w:styleId="HeaderChar">
    <w:name w:val="Header Char"/>
    <w:basedOn w:val="DefaultParagraphFont"/>
    <w:link w:val="Header"/>
    <w:uiPriority w:val="99"/>
    <w:locked/>
    <w:rsid w:val="007342DC"/>
    <w:rPr>
      <w:rFonts w:ascii="Times New Roman" w:hAnsi="Times New Roman" w:cs="Times New Roman"/>
      <w:sz w:val="20"/>
      <w:szCs w:val="20"/>
    </w:rPr>
  </w:style>
  <w:style w:type="paragraph" w:styleId="Footer">
    <w:name w:val="footer"/>
    <w:basedOn w:val="Normal"/>
    <w:link w:val="FooterChar"/>
    <w:uiPriority w:val="99"/>
    <w:unhideWhenUsed/>
    <w:rsid w:val="007342DC"/>
    <w:pPr>
      <w:tabs>
        <w:tab w:val="center" w:pos="4680"/>
        <w:tab w:val="right" w:pos="9360"/>
      </w:tabs>
    </w:pPr>
  </w:style>
  <w:style w:type="character" w:customStyle="1" w:styleId="FooterChar">
    <w:name w:val="Footer Char"/>
    <w:basedOn w:val="DefaultParagraphFont"/>
    <w:link w:val="Footer"/>
    <w:uiPriority w:val="99"/>
    <w:locked/>
    <w:rsid w:val="007342D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Hon. William Donnino</cp:lastModifiedBy>
  <cp:revision>8</cp:revision>
  <cp:lastPrinted>2025-05-27T01:16:00Z</cp:lastPrinted>
  <dcterms:created xsi:type="dcterms:W3CDTF">2017-05-30T17:05:00Z</dcterms:created>
  <dcterms:modified xsi:type="dcterms:W3CDTF">2025-05-27T01:16:00Z</dcterms:modified>
</cp:coreProperties>
</file>