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3CCF2" w14:textId="594DB09E" w:rsidR="00656E24" w:rsidRPr="00E528EB" w:rsidRDefault="00656E24" w:rsidP="00E528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b/>
          <w:bCs/>
          <w:sz w:val="28"/>
          <w:szCs w:val="28"/>
        </w:rPr>
      </w:pPr>
      <w:r w:rsidRPr="00E528EB">
        <w:rPr>
          <w:sz w:val="28"/>
          <w:szCs w:val="28"/>
          <w:lang w:val="en-CA"/>
        </w:rPr>
        <w:fldChar w:fldCharType="begin"/>
      </w:r>
      <w:r w:rsidRPr="00E528EB">
        <w:rPr>
          <w:sz w:val="28"/>
          <w:szCs w:val="28"/>
          <w:lang w:val="en-CA"/>
        </w:rPr>
        <w:instrText xml:space="preserve"> SEQ CHAPTER \h \r 1</w:instrText>
      </w:r>
      <w:r w:rsidRPr="00E528EB">
        <w:rPr>
          <w:sz w:val="28"/>
          <w:szCs w:val="28"/>
          <w:lang w:val="en-CA"/>
        </w:rPr>
        <w:fldChar w:fldCharType="end"/>
      </w:r>
      <w:r w:rsidR="006F16FB">
        <w:rPr>
          <w:b/>
          <w:bCs/>
          <w:sz w:val="28"/>
          <w:szCs w:val="28"/>
        </w:rPr>
        <w:t>1.0</w:t>
      </w:r>
      <w:r w:rsidR="003A3119">
        <w:rPr>
          <w:b/>
          <w:bCs/>
          <w:sz w:val="28"/>
          <w:szCs w:val="28"/>
        </w:rPr>
        <w:t>2</w:t>
      </w:r>
      <w:r w:rsidRPr="00E528EB">
        <w:rPr>
          <w:b/>
          <w:bCs/>
          <w:sz w:val="28"/>
          <w:szCs w:val="28"/>
        </w:rPr>
        <w:t>. Purpose and Construct</w:t>
      </w:r>
      <w:r w:rsidR="006D6DB8">
        <w:rPr>
          <w:b/>
          <w:bCs/>
          <w:sz w:val="28"/>
          <w:szCs w:val="28"/>
        </w:rPr>
        <w:t>ion</w:t>
      </w:r>
    </w:p>
    <w:p w14:paraId="72DA56D3" w14:textId="77777777" w:rsidR="00656E24" w:rsidRPr="00E528EB" w:rsidRDefault="00656E24" w:rsidP="00E528EB">
      <w:pPr>
        <w:pStyle w:val="NoSpacing"/>
        <w:widowControl/>
        <w:tabs>
          <w:tab w:val="left" w:pos="720"/>
          <w:tab w:val="left" w:pos="1440"/>
          <w:tab w:val="left" w:pos="2160"/>
          <w:tab w:val="left" w:pos="2880"/>
          <w:tab w:val="left" w:pos="3600"/>
          <w:tab w:val="left" w:pos="4320"/>
          <w:tab w:val="left" w:pos="5040"/>
          <w:tab w:val="left" w:pos="5760"/>
          <w:tab w:val="left" w:pos="6480"/>
          <w:tab w:val="left" w:pos="7198"/>
        </w:tabs>
        <w:ind w:left="720" w:right="720"/>
        <w:jc w:val="both"/>
        <w:rPr>
          <w:rFonts w:ascii="Times New Roman" w:hAnsi="Times New Roman" w:cs="Times New Roman"/>
          <w:b/>
          <w:bCs/>
          <w:sz w:val="28"/>
          <w:szCs w:val="28"/>
        </w:rPr>
      </w:pPr>
    </w:p>
    <w:p w14:paraId="3CCE87B7" w14:textId="4B89CFDA" w:rsidR="00BE2581" w:rsidRDefault="00656E24" w:rsidP="00300746">
      <w:pPr>
        <w:pStyle w:val="NoSpacing"/>
        <w:widowControl/>
        <w:tabs>
          <w:tab w:val="left" w:pos="720"/>
          <w:tab w:val="left" w:pos="1440"/>
          <w:tab w:val="left" w:pos="2160"/>
          <w:tab w:val="left" w:pos="2880"/>
          <w:tab w:val="left" w:pos="3600"/>
          <w:tab w:val="left" w:pos="4320"/>
          <w:tab w:val="left" w:pos="5040"/>
          <w:tab w:val="left" w:pos="5760"/>
          <w:tab w:val="left" w:pos="6480"/>
          <w:tab w:val="left" w:pos="7198"/>
        </w:tabs>
        <w:ind w:left="720" w:right="720"/>
        <w:jc w:val="both"/>
        <w:rPr>
          <w:rFonts w:ascii="Times New Roman" w:hAnsi="Times New Roman" w:cs="Times New Roman"/>
          <w:b/>
          <w:bCs/>
          <w:color w:val="212121"/>
          <w:sz w:val="28"/>
          <w:szCs w:val="28"/>
        </w:rPr>
      </w:pPr>
      <w:r w:rsidRPr="00E528EB">
        <w:rPr>
          <w:rFonts w:ascii="Times New Roman" w:hAnsi="Times New Roman" w:cs="Times New Roman"/>
          <w:b/>
          <w:bCs/>
          <w:color w:val="212121"/>
          <w:sz w:val="28"/>
          <w:szCs w:val="28"/>
        </w:rPr>
        <w:t xml:space="preserve">In recognition of the absence of a New York statutory code of evidence, the objective of </w:t>
      </w:r>
      <w:r w:rsidR="000B3EAF">
        <w:rPr>
          <w:rFonts w:ascii="Times New Roman" w:hAnsi="Times New Roman" w:cs="Times New Roman"/>
          <w:b/>
          <w:bCs/>
          <w:color w:val="212121"/>
          <w:sz w:val="28"/>
          <w:szCs w:val="28"/>
        </w:rPr>
        <w:t>the Guide to NY Evidence [GNYE]</w:t>
      </w:r>
      <w:r w:rsidRPr="00E528EB">
        <w:rPr>
          <w:rFonts w:ascii="Times New Roman" w:hAnsi="Times New Roman" w:cs="Times New Roman"/>
          <w:b/>
          <w:bCs/>
          <w:color w:val="212121"/>
          <w:sz w:val="28"/>
          <w:szCs w:val="28"/>
        </w:rPr>
        <w:t xml:space="preserve"> is to bring together in one </w:t>
      </w:r>
      <w:r w:rsidR="000B3EAF">
        <w:rPr>
          <w:rFonts w:ascii="Times New Roman" w:hAnsi="Times New Roman" w:cs="Times New Roman"/>
          <w:b/>
          <w:bCs/>
          <w:color w:val="212121"/>
          <w:sz w:val="28"/>
          <w:szCs w:val="28"/>
        </w:rPr>
        <w:t>place</w:t>
      </w:r>
      <w:r w:rsidRPr="00E528EB">
        <w:rPr>
          <w:rFonts w:ascii="Times New Roman" w:hAnsi="Times New Roman" w:cs="Times New Roman"/>
          <w:b/>
          <w:bCs/>
          <w:color w:val="212121"/>
          <w:sz w:val="28"/>
          <w:szCs w:val="28"/>
        </w:rPr>
        <w:t xml:space="preserve">, for the benefit of the bench and bar, New York’s existing </w:t>
      </w:r>
      <w:r w:rsidR="000B3EAF">
        <w:rPr>
          <w:rFonts w:ascii="Times New Roman" w:hAnsi="Times New Roman" w:cs="Times New Roman"/>
          <w:b/>
          <w:bCs/>
          <w:color w:val="212121"/>
          <w:sz w:val="28"/>
          <w:szCs w:val="28"/>
        </w:rPr>
        <w:t xml:space="preserve">statutory and common law </w:t>
      </w:r>
      <w:r w:rsidRPr="00E528EB">
        <w:rPr>
          <w:rFonts w:ascii="Times New Roman" w:hAnsi="Times New Roman" w:cs="Times New Roman"/>
          <w:b/>
          <w:bCs/>
          <w:color w:val="212121"/>
          <w:sz w:val="28"/>
          <w:szCs w:val="28"/>
        </w:rPr>
        <w:t xml:space="preserve">rules of evidence, setting forth each rule with a note on the sources for that rule. </w:t>
      </w:r>
    </w:p>
    <w:p w14:paraId="628D187F" w14:textId="77777777" w:rsidR="00BE2581" w:rsidRDefault="00BE2581" w:rsidP="00300746">
      <w:pPr>
        <w:pStyle w:val="NoSpacing"/>
        <w:widowControl/>
        <w:tabs>
          <w:tab w:val="left" w:pos="720"/>
          <w:tab w:val="left" w:pos="1440"/>
          <w:tab w:val="left" w:pos="2160"/>
          <w:tab w:val="left" w:pos="2880"/>
          <w:tab w:val="left" w:pos="3600"/>
          <w:tab w:val="left" w:pos="4320"/>
          <w:tab w:val="left" w:pos="5040"/>
          <w:tab w:val="left" w:pos="5760"/>
          <w:tab w:val="left" w:pos="6480"/>
          <w:tab w:val="left" w:pos="7198"/>
        </w:tabs>
        <w:ind w:left="720" w:right="720"/>
        <w:jc w:val="both"/>
        <w:rPr>
          <w:rFonts w:ascii="Times New Roman" w:hAnsi="Times New Roman" w:cs="Times New Roman"/>
          <w:b/>
          <w:bCs/>
          <w:color w:val="212121"/>
          <w:sz w:val="28"/>
          <w:szCs w:val="28"/>
        </w:rPr>
      </w:pPr>
    </w:p>
    <w:p w14:paraId="26730910" w14:textId="1AD84105" w:rsidR="00BE2581" w:rsidRDefault="00656E24" w:rsidP="00300746">
      <w:pPr>
        <w:pStyle w:val="NoSpacing"/>
        <w:widowControl/>
        <w:tabs>
          <w:tab w:val="left" w:pos="720"/>
          <w:tab w:val="left" w:pos="1440"/>
          <w:tab w:val="left" w:pos="2160"/>
          <w:tab w:val="left" w:pos="2880"/>
          <w:tab w:val="left" w:pos="3600"/>
          <w:tab w:val="left" w:pos="4320"/>
          <w:tab w:val="left" w:pos="5040"/>
          <w:tab w:val="left" w:pos="5760"/>
          <w:tab w:val="left" w:pos="6480"/>
          <w:tab w:val="left" w:pos="7198"/>
        </w:tabs>
        <w:ind w:left="720" w:right="720"/>
        <w:jc w:val="both"/>
        <w:rPr>
          <w:rFonts w:ascii="Times New Roman" w:hAnsi="Times New Roman" w:cs="Times New Roman"/>
          <w:b/>
          <w:bCs/>
          <w:color w:val="212121"/>
          <w:sz w:val="28"/>
          <w:szCs w:val="28"/>
        </w:rPr>
      </w:pPr>
      <w:r w:rsidRPr="00E528EB">
        <w:rPr>
          <w:rFonts w:ascii="Times New Roman" w:hAnsi="Times New Roman" w:cs="Times New Roman"/>
          <w:b/>
          <w:bCs/>
          <w:color w:val="212121"/>
          <w:sz w:val="28"/>
          <w:szCs w:val="28"/>
        </w:rPr>
        <w:t>Given that most of New York’s evidentiary rules are not codified and that the New York Court of Appeals provides the controlling interpretation of the New York State constitution, statutes and common la</w:t>
      </w:r>
      <w:r w:rsidR="00935C61">
        <w:rPr>
          <w:rFonts w:ascii="Times New Roman" w:hAnsi="Times New Roman" w:cs="Times New Roman"/>
          <w:b/>
          <w:bCs/>
          <w:color w:val="212121"/>
          <w:sz w:val="28"/>
          <w:szCs w:val="28"/>
        </w:rPr>
        <w:t>w, th</w:t>
      </w:r>
      <w:r w:rsidR="005D2285">
        <w:rPr>
          <w:rFonts w:ascii="Times New Roman" w:hAnsi="Times New Roman" w:cs="Times New Roman"/>
          <w:b/>
          <w:bCs/>
          <w:color w:val="212121"/>
          <w:sz w:val="28"/>
          <w:szCs w:val="28"/>
        </w:rPr>
        <w:t xml:space="preserve">e GNYE </w:t>
      </w:r>
      <w:r w:rsidR="00935C61">
        <w:rPr>
          <w:rFonts w:ascii="Times New Roman" w:hAnsi="Times New Roman" w:cs="Times New Roman"/>
          <w:b/>
          <w:bCs/>
          <w:color w:val="212121"/>
          <w:sz w:val="28"/>
          <w:szCs w:val="28"/>
        </w:rPr>
        <w:t xml:space="preserve">places particular </w:t>
      </w:r>
      <w:r w:rsidRPr="00E528EB">
        <w:rPr>
          <w:rFonts w:ascii="Times New Roman" w:hAnsi="Times New Roman" w:cs="Times New Roman"/>
          <w:b/>
          <w:bCs/>
          <w:color w:val="212121"/>
          <w:sz w:val="28"/>
          <w:szCs w:val="28"/>
        </w:rPr>
        <w:t xml:space="preserve">emphasis on and adheres to the controlling precedents of the New York Court of Appeals. </w:t>
      </w:r>
    </w:p>
    <w:p w14:paraId="02580D86" w14:textId="77777777" w:rsidR="00BE2581" w:rsidRDefault="00BE2581" w:rsidP="00300746">
      <w:pPr>
        <w:pStyle w:val="NoSpacing"/>
        <w:widowControl/>
        <w:tabs>
          <w:tab w:val="left" w:pos="720"/>
          <w:tab w:val="left" w:pos="1440"/>
          <w:tab w:val="left" w:pos="2160"/>
          <w:tab w:val="left" w:pos="2880"/>
          <w:tab w:val="left" w:pos="3600"/>
          <w:tab w:val="left" w:pos="4320"/>
          <w:tab w:val="left" w:pos="5040"/>
          <w:tab w:val="left" w:pos="5760"/>
          <w:tab w:val="left" w:pos="6480"/>
          <w:tab w:val="left" w:pos="7198"/>
        </w:tabs>
        <w:ind w:left="720" w:right="720"/>
        <w:jc w:val="both"/>
        <w:rPr>
          <w:rFonts w:ascii="Times New Roman" w:hAnsi="Times New Roman" w:cs="Times New Roman"/>
          <w:b/>
          <w:bCs/>
          <w:color w:val="212121"/>
          <w:sz w:val="28"/>
          <w:szCs w:val="28"/>
        </w:rPr>
      </w:pPr>
    </w:p>
    <w:p w14:paraId="3D41C0AF" w14:textId="30AC9817" w:rsidR="00E528EB" w:rsidRDefault="00BE2581" w:rsidP="00300746">
      <w:pPr>
        <w:pStyle w:val="NoSpacing"/>
        <w:widowControl/>
        <w:tabs>
          <w:tab w:val="left" w:pos="720"/>
          <w:tab w:val="left" w:pos="1440"/>
          <w:tab w:val="left" w:pos="2160"/>
          <w:tab w:val="left" w:pos="2880"/>
          <w:tab w:val="left" w:pos="3600"/>
          <w:tab w:val="left" w:pos="4320"/>
          <w:tab w:val="left" w:pos="5040"/>
          <w:tab w:val="left" w:pos="5760"/>
          <w:tab w:val="left" w:pos="6480"/>
          <w:tab w:val="left" w:pos="7198"/>
        </w:tabs>
        <w:ind w:left="720" w:right="720"/>
        <w:jc w:val="both"/>
        <w:rPr>
          <w:rFonts w:ascii="Times New Roman" w:hAnsi="Times New Roman" w:cs="Times New Roman"/>
          <w:b/>
          <w:bCs/>
          <w:color w:val="212121"/>
          <w:sz w:val="28"/>
          <w:szCs w:val="28"/>
        </w:rPr>
      </w:pPr>
      <w:r>
        <w:rPr>
          <w:rFonts w:ascii="Times New Roman" w:hAnsi="Times New Roman" w:cs="Times New Roman"/>
          <w:b/>
          <w:bCs/>
          <w:color w:val="212121"/>
          <w:sz w:val="28"/>
          <w:szCs w:val="28"/>
        </w:rPr>
        <w:t>T</w:t>
      </w:r>
      <w:r w:rsidR="00656E24" w:rsidRPr="00E528EB">
        <w:rPr>
          <w:rFonts w:ascii="Times New Roman" w:hAnsi="Times New Roman" w:cs="Times New Roman"/>
          <w:b/>
          <w:bCs/>
          <w:color w:val="212121"/>
          <w:sz w:val="28"/>
          <w:szCs w:val="28"/>
        </w:rPr>
        <w:t xml:space="preserve">he </w:t>
      </w:r>
      <w:r w:rsidR="005D2285">
        <w:rPr>
          <w:rFonts w:ascii="Times New Roman" w:hAnsi="Times New Roman" w:cs="Times New Roman"/>
          <w:b/>
          <w:bCs/>
          <w:color w:val="212121"/>
          <w:sz w:val="28"/>
          <w:szCs w:val="28"/>
        </w:rPr>
        <w:t>GNYE is</w:t>
      </w:r>
      <w:r w:rsidR="00656E24" w:rsidRPr="00E528EB">
        <w:rPr>
          <w:rFonts w:ascii="Times New Roman" w:hAnsi="Times New Roman" w:cs="Times New Roman"/>
          <w:b/>
          <w:bCs/>
          <w:color w:val="212121"/>
          <w:sz w:val="28"/>
          <w:szCs w:val="28"/>
        </w:rPr>
        <w:t xml:space="preserve"> not intended to alter the existing law of New York evidence and shall not be construed as doing so or as precluding change </w:t>
      </w:r>
      <w:r w:rsidR="00935C61">
        <w:rPr>
          <w:rFonts w:ascii="Times New Roman" w:hAnsi="Times New Roman" w:cs="Times New Roman"/>
          <w:b/>
          <w:bCs/>
          <w:color w:val="212121"/>
          <w:sz w:val="28"/>
          <w:szCs w:val="28"/>
        </w:rPr>
        <w:t xml:space="preserve">in the law </w:t>
      </w:r>
      <w:r w:rsidR="00656E24" w:rsidRPr="00E528EB">
        <w:rPr>
          <w:rFonts w:ascii="Times New Roman" w:hAnsi="Times New Roman" w:cs="Times New Roman"/>
          <w:b/>
          <w:bCs/>
          <w:color w:val="212121"/>
          <w:sz w:val="28"/>
          <w:szCs w:val="28"/>
        </w:rPr>
        <w:t>when appropriate.</w:t>
      </w:r>
    </w:p>
    <w:p w14:paraId="1E89BFEF" w14:textId="77777777" w:rsidR="00E528EB" w:rsidRDefault="00E528EB" w:rsidP="00E528EB">
      <w:pPr>
        <w:pStyle w:val="NoSpacing"/>
        <w:widowControl/>
        <w:tabs>
          <w:tab w:val="left" w:pos="1440"/>
          <w:tab w:val="left" w:pos="2160"/>
          <w:tab w:val="left" w:pos="2880"/>
          <w:tab w:val="left" w:pos="3600"/>
          <w:tab w:val="left" w:pos="4320"/>
          <w:tab w:val="left" w:pos="5040"/>
          <w:tab w:val="left" w:pos="5760"/>
          <w:tab w:val="left" w:pos="6480"/>
          <w:tab w:val="left" w:pos="7198"/>
        </w:tabs>
        <w:ind w:right="720"/>
        <w:jc w:val="both"/>
        <w:rPr>
          <w:rFonts w:ascii="Times New Roman" w:hAnsi="Times New Roman" w:cs="Times New Roman"/>
          <w:b/>
          <w:bCs/>
          <w:color w:val="212121"/>
          <w:sz w:val="28"/>
          <w:szCs w:val="28"/>
        </w:rPr>
      </w:pPr>
    </w:p>
    <w:p w14:paraId="2594FCCE" w14:textId="77777777" w:rsidR="00656E24" w:rsidRPr="00E528EB" w:rsidRDefault="00656E24" w:rsidP="00E528EB">
      <w:pPr>
        <w:pStyle w:val="NoSpacing"/>
        <w:widowControl/>
        <w:tabs>
          <w:tab w:val="left" w:pos="1440"/>
          <w:tab w:val="left" w:pos="2160"/>
          <w:tab w:val="left" w:pos="2880"/>
          <w:tab w:val="left" w:pos="3600"/>
          <w:tab w:val="left" w:pos="4320"/>
          <w:tab w:val="left" w:pos="5040"/>
          <w:tab w:val="left" w:pos="5760"/>
          <w:tab w:val="left" w:pos="6480"/>
          <w:tab w:val="left" w:pos="7198"/>
        </w:tabs>
        <w:ind w:right="720"/>
        <w:jc w:val="center"/>
        <w:rPr>
          <w:rFonts w:ascii="Times New Roman" w:hAnsi="Times New Roman" w:cs="Times New Roman"/>
          <w:b/>
          <w:bCs/>
          <w:color w:val="212121"/>
          <w:sz w:val="24"/>
          <w:szCs w:val="24"/>
        </w:rPr>
      </w:pPr>
      <w:r w:rsidRPr="00E528EB">
        <w:rPr>
          <w:rFonts w:ascii="Times New Roman" w:hAnsi="Times New Roman" w:cs="Times New Roman"/>
          <w:b/>
          <w:bCs/>
          <w:color w:val="212121"/>
          <w:sz w:val="24"/>
          <w:szCs w:val="24"/>
        </w:rPr>
        <w:t>Note</w:t>
      </w:r>
    </w:p>
    <w:p w14:paraId="5FB34187" w14:textId="77777777" w:rsidR="00656E24" w:rsidRPr="00E528EB" w:rsidRDefault="00656E24" w:rsidP="00E528EB">
      <w:pPr>
        <w:pStyle w:val="NoSpacing"/>
        <w:widowControl/>
        <w:tabs>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b/>
          <w:bCs/>
          <w:sz w:val="24"/>
          <w:szCs w:val="24"/>
        </w:rPr>
      </w:pPr>
    </w:p>
    <w:p w14:paraId="7AE5B7F3" w14:textId="3F80A144" w:rsidR="00656E24" w:rsidRPr="00E528EB" w:rsidRDefault="00E528EB" w:rsidP="00E528EB">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rFonts w:ascii="Times New Roman" w:hAnsi="Times New Roman" w:cs="Times New Roman"/>
          <w:sz w:val="24"/>
          <w:szCs w:val="24"/>
        </w:rPr>
      </w:pPr>
      <w:r>
        <w:rPr>
          <w:rFonts w:ascii="Times New Roman" w:hAnsi="Times New Roman" w:cs="Times New Roman"/>
          <w:sz w:val="24"/>
          <w:szCs w:val="24"/>
        </w:rPr>
        <w:tab/>
      </w:r>
      <w:r w:rsidR="00656E24" w:rsidRPr="00E528EB">
        <w:rPr>
          <w:rFonts w:ascii="Times New Roman" w:hAnsi="Times New Roman" w:cs="Times New Roman"/>
          <w:sz w:val="24"/>
          <w:szCs w:val="24"/>
        </w:rPr>
        <w:t xml:space="preserve">It bears emphasis that </w:t>
      </w:r>
      <w:r w:rsidR="005D2285">
        <w:rPr>
          <w:rFonts w:ascii="Times New Roman" w:hAnsi="Times New Roman" w:cs="Times New Roman"/>
          <w:sz w:val="24"/>
          <w:szCs w:val="24"/>
        </w:rPr>
        <w:t>the GNYE</w:t>
      </w:r>
      <w:r w:rsidR="00656E24" w:rsidRPr="00E528EB">
        <w:rPr>
          <w:rFonts w:ascii="Times New Roman" w:hAnsi="Times New Roman" w:cs="Times New Roman"/>
          <w:sz w:val="24"/>
          <w:szCs w:val="24"/>
        </w:rPr>
        <w:t xml:space="preserve"> sets forth the existing law of New York evidence at the moment of publication and that the law of evidence is continuously subject to change. Most notably, perhaps, because New York’s law of evidence relies primarily on the common law of evidence, it is best to remember, as former Chief Judge of the Court of Appeals Stanley Fuld explained:</w:t>
      </w:r>
    </w:p>
    <w:p w14:paraId="59CED24C" w14:textId="77777777" w:rsidR="00656E24" w:rsidRPr="00E528EB" w:rsidRDefault="00656E24" w:rsidP="00E528EB">
      <w:pPr>
        <w:pStyle w:val="NoSpacing"/>
        <w:widowControl/>
        <w:tabs>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p>
    <w:p w14:paraId="6E669289" w14:textId="77777777" w:rsidR="00656E24" w:rsidRPr="00E528EB" w:rsidRDefault="00752CDE" w:rsidP="00E528EB">
      <w:pPr>
        <w:pStyle w:val="NoSpacing"/>
        <w:widowControl/>
        <w:tabs>
          <w:tab w:val="left" w:pos="720"/>
          <w:tab w:val="left" w:pos="1440"/>
          <w:tab w:val="left" w:pos="2160"/>
          <w:tab w:val="left" w:pos="2880"/>
          <w:tab w:val="left" w:pos="3600"/>
          <w:tab w:val="left" w:pos="4320"/>
          <w:tab w:val="left" w:pos="5040"/>
          <w:tab w:val="left" w:pos="5760"/>
          <w:tab w:val="left" w:pos="6480"/>
          <w:tab w:val="left" w:pos="7200"/>
        </w:tabs>
        <w:ind w:left="720" w:right="720"/>
        <w:jc w:val="both"/>
        <w:rPr>
          <w:rFonts w:ascii="Times New Roman" w:hAnsi="Times New Roman" w:cs="Times New Roman"/>
          <w:sz w:val="24"/>
          <w:szCs w:val="24"/>
        </w:rPr>
      </w:pPr>
      <w:r>
        <w:rPr>
          <w:rFonts w:ascii="Times New Roman" w:hAnsi="Times New Roman" w:cs="Times New Roman"/>
          <w:color w:val="212121"/>
          <w:sz w:val="24"/>
          <w:szCs w:val="24"/>
        </w:rPr>
        <w:t>“</w:t>
      </w:r>
      <w:r w:rsidR="00656E24" w:rsidRPr="00E528EB">
        <w:rPr>
          <w:rFonts w:ascii="Times New Roman" w:hAnsi="Times New Roman" w:cs="Times New Roman"/>
          <w:color w:val="212121"/>
          <w:sz w:val="24"/>
          <w:szCs w:val="24"/>
        </w:rPr>
        <w:t>The common law of evidence is constantly being refashioned by the courts of this and other jurisdictions to meet the demands of modern litigation. . . . Absent some strong public policy or a clear act of pre-emption by the Legislature, rules of evidence should be fashioned to further, not frustrate, the truth-finding function of the courts . . . .</w:t>
      </w:r>
      <w:r w:rsidR="00E528EB">
        <w:rPr>
          <w:rFonts w:ascii="Times New Roman" w:hAnsi="Times New Roman" w:cs="Times New Roman"/>
          <w:color w:val="212121"/>
          <w:sz w:val="24"/>
          <w:szCs w:val="24"/>
        </w:rPr>
        <w:t xml:space="preserve"> ”</w:t>
      </w:r>
      <w:r w:rsidR="00656E24" w:rsidRPr="00E528EB">
        <w:rPr>
          <w:rFonts w:ascii="Times New Roman" w:hAnsi="Times New Roman" w:cs="Times New Roman"/>
          <w:color w:val="212121"/>
          <w:sz w:val="24"/>
          <w:szCs w:val="24"/>
        </w:rPr>
        <w:t xml:space="preserve"> </w:t>
      </w:r>
    </w:p>
    <w:p w14:paraId="7010854E" w14:textId="77777777" w:rsidR="00656E24" w:rsidRPr="00E528EB" w:rsidRDefault="00656E24" w:rsidP="00E528EB">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056"/>
        </w:tabs>
        <w:ind w:right="864"/>
        <w:jc w:val="both"/>
        <w:rPr>
          <w:rFonts w:ascii="Times New Roman" w:hAnsi="Times New Roman" w:cs="Times New Roman"/>
          <w:sz w:val="24"/>
          <w:szCs w:val="24"/>
        </w:rPr>
      </w:pPr>
    </w:p>
    <w:p w14:paraId="44D70523" w14:textId="77777777" w:rsidR="00656E24" w:rsidRPr="00E528EB" w:rsidRDefault="00656E24" w:rsidP="00E528EB">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rFonts w:ascii="Times New Roman" w:hAnsi="Times New Roman" w:cs="Times New Roman"/>
          <w:sz w:val="24"/>
          <w:szCs w:val="24"/>
        </w:rPr>
      </w:pPr>
      <w:r w:rsidRPr="00E528EB">
        <w:rPr>
          <w:rFonts w:ascii="Times New Roman" w:hAnsi="Times New Roman" w:cs="Times New Roman"/>
          <w:sz w:val="24"/>
          <w:szCs w:val="24"/>
        </w:rPr>
        <w:t>(</w:t>
      </w:r>
      <w:r w:rsidRPr="008F2752">
        <w:rPr>
          <w:rFonts w:ascii="Times New Roman" w:hAnsi="Times New Roman" w:cs="Times New Roman"/>
          <w:i/>
          <w:iCs/>
          <w:sz w:val="24"/>
          <w:szCs w:val="24"/>
        </w:rPr>
        <w:t>Fleury v</w:t>
      </w:r>
      <w:r w:rsidRPr="008F2752">
        <w:rPr>
          <w:rFonts w:ascii="Times New Roman" w:hAnsi="Times New Roman" w:cs="Times New Roman"/>
          <w:i/>
          <w:sz w:val="24"/>
          <w:szCs w:val="24"/>
        </w:rPr>
        <w:t xml:space="preserve"> Edwards</w:t>
      </w:r>
      <w:r w:rsidRPr="00E528EB">
        <w:rPr>
          <w:rFonts w:ascii="Times New Roman" w:hAnsi="Times New Roman" w:cs="Times New Roman"/>
          <w:sz w:val="24"/>
          <w:szCs w:val="24"/>
        </w:rPr>
        <w:t xml:space="preserve">, 14 NY2d 334, 341 [1964, Fuld, J., concurring]; </w:t>
      </w:r>
      <w:r w:rsidRPr="00E528EB">
        <w:rPr>
          <w:rFonts w:ascii="Times New Roman" w:hAnsi="Times New Roman" w:cs="Times New Roman"/>
          <w:i/>
          <w:iCs/>
          <w:sz w:val="24"/>
          <w:szCs w:val="24"/>
        </w:rPr>
        <w:t>see People v Conyers</w:t>
      </w:r>
      <w:r w:rsidRPr="00E528EB">
        <w:rPr>
          <w:rFonts w:ascii="Times New Roman" w:hAnsi="Times New Roman" w:cs="Times New Roman"/>
          <w:sz w:val="24"/>
          <w:szCs w:val="24"/>
        </w:rPr>
        <w:t>, 52 NY2d 454, 460 [1981] [</w:t>
      </w:r>
      <w:r w:rsidRPr="00E528EB">
        <w:rPr>
          <w:rFonts w:ascii="Times New Roman" w:hAnsi="Times New Roman" w:cs="Times New Roman"/>
          <w:color w:val="212121"/>
          <w:sz w:val="24"/>
          <w:szCs w:val="24"/>
        </w:rPr>
        <w:t>“the rule announced in our d</w:t>
      </w:r>
      <w:r w:rsidR="00034BE4">
        <w:rPr>
          <w:rFonts w:ascii="Times New Roman" w:hAnsi="Times New Roman" w:cs="Times New Roman"/>
          <w:color w:val="212121"/>
          <w:sz w:val="24"/>
          <w:szCs w:val="24"/>
        </w:rPr>
        <w:t>ecision today (dealing with pre</w:t>
      </w:r>
      <w:r w:rsidRPr="00E528EB">
        <w:rPr>
          <w:rFonts w:ascii="Times New Roman" w:hAnsi="Times New Roman" w:cs="Times New Roman"/>
          <w:color w:val="212121"/>
          <w:sz w:val="24"/>
          <w:szCs w:val="24"/>
        </w:rPr>
        <w:t xml:space="preserve">trial silence) represents a simple recognition of our judicial </w:t>
      </w:r>
      <w:r w:rsidRPr="00E528EB">
        <w:rPr>
          <w:rFonts w:ascii="Times New Roman" w:hAnsi="Times New Roman" w:cs="Times New Roman"/>
          <w:color w:val="212121"/>
          <w:sz w:val="24"/>
          <w:szCs w:val="24"/>
        </w:rPr>
        <w:lastRenderedPageBreak/>
        <w:t>responsibility to formulate rules of evidence to protect the integri</w:t>
      </w:r>
      <w:r w:rsidR="003C088B">
        <w:rPr>
          <w:rFonts w:ascii="Times New Roman" w:hAnsi="Times New Roman" w:cs="Times New Roman"/>
          <w:color w:val="212121"/>
          <w:sz w:val="24"/>
          <w:szCs w:val="24"/>
        </w:rPr>
        <w:t>ty of the truth-finding process</w:t>
      </w:r>
      <w:r w:rsidRPr="00E528EB">
        <w:rPr>
          <w:rFonts w:ascii="Times New Roman" w:hAnsi="Times New Roman" w:cs="Times New Roman"/>
          <w:color w:val="212121"/>
          <w:sz w:val="24"/>
          <w:szCs w:val="24"/>
        </w:rPr>
        <w:t>”]</w:t>
      </w:r>
      <w:r w:rsidR="003C088B">
        <w:rPr>
          <w:rFonts w:ascii="Times New Roman" w:hAnsi="Times New Roman" w:cs="Times New Roman"/>
          <w:color w:val="212121"/>
          <w:sz w:val="24"/>
          <w:szCs w:val="24"/>
        </w:rPr>
        <w:t>.</w:t>
      </w:r>
      <w:r w:rsidRPr="00E528EB">
        <w:rPr>
          <w:rFonts w:ascii="Times New Roman" w:hAnsi="Times New Roman" w:cs="Times New Roman"/>
          <w:color w:val="212121"/>
          <w:sz w:val="24"/>
          <w:szCs w:val="24"/>
        </w:rPr>
        <w:t>)</w:t>
      </w:r>
    </w:p>
    <w:p w14:paraId="07ECD6AD" w14:textId="77777777" w:rsidR="00656E24" w:rsidRPr="00E528EB" w:rsidRDefault="00656E24" w:rsidP="00E528EB">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rFonts w:ascii="Times New Roman" w:hAnsi="Times New Roman" w:cs="Times New Roman"/>
          <w:sz w:val="24"/>
          <w:szCs w:val="24"/>
        </w:rPr>
      </w:pPr>
    </w:p>
    <w:p w14:paraId="23F45EDA" w14:textId="77777777" w:rsidR="00656E24" w:rsidRPr="00E528EB" w:rsidRDefault="00656E24" w:rsidP="00E528EB">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rFonts w:ascii="Times New Roman" w:hAnsi="Times New Roman" w:cs="Times New Roman"/>
          <w:sz w:val="24"/>
          <w:szCs w:val="24"/>
        </w:rPr>
      </w:pPr>
      <w:r w:rsidRPr="00E528EB">
        <w:rPr>
          <w:rFonts w:ascii="Times New Roman" w:hAnsi="Times New Roman" w:cs="Times New Roman"/>
          <w:color w:val="212121"/>
          <w:sz w:val="24"/>
          <w:szCs w:val="24"/>
        </w:rPr>
        <w:tab/>
        <w:t>As a result, the Committee on Evidence will periodically examine the state of the law of evidence and update this Guide as necessary. Any revision of a rule will be explained in the Note to the rule.</w:t>
      </w:r>
    </w:p>
    <w:p w14:paraId="70E786EB" w14:textId="77777777" w:rsidR="00656E24" w:rsidRPr="00E528EB" w:rsidRDefault="00656E24" w:rsidP="00E528EB">
      <w:pPr>
        <w:pStyle w:val="NoSpacing"/>
        <w:widowControl/>
        <w:tabs>
          <w:tab w:val="left" w:pos="1440"/>
          <w:tab w:val="left" w:pos="2160"/>
          <w:tab w:val="left" w:pos="2880"/>
          <w:tab w:val="left" w:pos="3600"/>
          <w:tab w:val="left" w:pos="4320"/>
          <w:tab w:val="left" w:pos="5040"/>
          <w:tab w:val="left" w:pos="5760"/>
          <w:tab w:val="left" w:pos="6480"/>
          <w:tab w:val="left" w:pos="7200"/>
          <w:tab w:val="left" w:pos="7918"/>
        </w:tabs>
        <w:ind w:left="1440" w:hanging="720"/>
        <w:rPr>
          <w:rFonts w:ascii="Times New Roman" w:hAnsi="Times New Roman" w:cs="Times New Roman"/>
          <w:sz w:val="24"/>
          <w:szCs w:val="24"/>
        </w:rPr>
      </w:pPr>
    </w:p>
    <w:p w14:paraId="7D2FC846" w14:textId="7BA4EE18" w:rsidR="00656E24" w:rsidRPr="00E528EB" w:rsidRDefault="00E528EB" w:rsidP="00E528EB">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Pr>
          <w:rFonts w:ascii="Times New Roman" w:hAnsi="Times New Roman" w:cs="Times New Roman"/>
          <w:sz w:val="24"/>
          <w:szCs w:val="24"/>
        </w:rPr>
        <w:tab/>
      </w:r>
      <w:r w:rsidR="00656E24" w:rsidRPr="00E528EB">
        <w:rPr>
          <w:rFonts w:ascii="Times New Roman" w:hAnsi="Times New Roman" w:cs="Times New Roman"/>
          <w:sz w:val="24"/>
          <w:szCs w:val="24"/>
        </w:rPr>
        <w:t>Finally, as set forth in the rule, “th</w:t>
      </w:r>
      <w:r w:rsidR="0036613A">
        <w:rPr>
          <w:rFonts w:ascii="Times New Roman" w:hAnsi="Times New Roman" w:cs="Times New Roman"/>
          <w:sz w:val="24"/>
          <w:szCs w:val="24"/>
        </w:rPr>
        <w:t>e G</w:t>
      </w:r>
      <w:r w:rsidR="0037163A">
        <w:rPr>
          <w:rFonts w:ascii="Times New Roman" w:hAnsi="Times New Roman" w:cs="Times New Roman"/>
          <w:sz w:val="24"/>
          <w:szCs w:val="24"/>
        </w:rPr>
        <w:t xml:space="preserve">NYE </w:t>
      </w:r>
      <w:r w:rsidR="00656E24" w:rsidRPr="00E528EB">
        <w:rPr>
          <w:rFonts w:ascii="Times New Roman" w:hAnsi="Times New Roman" w:cs="Times New Roman"/>
          <w:sz w:val="24"/>
          <w:szCs w:val="24"/>
        </w:rPr>
        <w:t>places particular emphasis on and adheres to the controlling precedents of the New York Court of Appeals.” To the extent possible, therefore, the Guide employs the language of the Court of Appeals. In the occasional instance where no controlling Court of Appeals precedent exists, Appellate Division precedent uniformly followed by the courts may form the basis for a rule. In instances where the law of New York converges with other evidence codes, such as the 1982 and 1991-92 Proposed Code of Evidence for New York prepared by the New York State Law Revision Commission, the Uniform Rules of Evidence, or the Federal Rules of Evidence, language from those rules may be used in this Guide.</w:t>
      </w:r>
    </w:p>
    <w:sectPr w:rsidR="00656E24" w:rsidRPr="00E528EB" w:rsidSect="00E528EB">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2160" w:bottom="1440" w:left="216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A4B3" w14:textId="77777777" w:rsidR="00223986" w:rsidRDefault="00223986" w:rsidP="00101443">
      <w:r>
        <w:separator/>
      </w:r>
    </w:p>
  </w:endnote>
  <w:endnote w:type="continuationSeparator" w:id="0">
    <w:p w14:paraId="186E44EB" w14:textId="77777777" w:rsidR="00223986" w:rsidRDefault="00223986" w:rsidP="0010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B929" w14:textId="77777777" w:rsidR="00FB73C2" w:rsidRDefault="00FB7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FF81" w14:textId="7D5D3EB6" w:rsidR="00101443" w:rsidRDefault="00101443">
    <w:pPr>
      <w:pStyle w:val="Footer"/>
      <w:jc w:val="center"/>
    </w:pPr>
    <w:r>
      <w:fldChar w:fldCharType="begin"/>
    </w:r>
    <w:r>
      <w:instrText xml:space="preserve"> PAGE   \* MERGEFORMAT </w:instrText>
    </w:r>
    <w:r>
      <w:fldChar w:fldCharType="separate"/>
    </w:r>
    <w:r w:rsidR="006F16FB">
      <w:rPr>
        <w:noProof/>
      </w:rPr>
      <w:t>2</w:t>
    </w:r>
    <w:r>
      <w:fldChar w:fldCharType="end"/>
    </w:r>
  </w:p>
  <w:p w14:paraId="57BEC304" w14:textId="77777777" w:rsidR="00101443" w:rsidRDefault="001014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C93E" w14:textId="77777777" w:rsidR="00FB73C2" w:rsidRDefault="00FB7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814A5" w14:textId="77777777" w:rsidR="00223986" w:rsidRDefault="00223986" w:rsidP="00101443">
      <w:r>
        <w:separator/>
      </w:r>
    </w:p>
  </w:footnote>
  <w:footnote w:type="continuationSeparator" w:id="0">
    <w:p w14:paraId="2F985857" w14:textId="77777777" w:rsidR="00223986" w:rsidRDefault="00223986" w:rsidP="00101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D514" w14:textId="77777777" w:rsidR="00FB73C2" w:rsidRDefault="00FB7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E5F86" w14:textId="77777777" w:rsidR="00FB73C2" w:rsidRDefault="00FB73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D3C4" w14:textId="77777777" w:rsidR="00FB73C2" w:rsidRDefault="00FB73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02"/>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8EB"/>
    <w:rsid w:val="00034BE4"/>
    <w:rsid w:val="000B3EAF"/>
    <w:rsid w:val="000B5E92"/>
    <w:rsid w:val="000D66DD"/>
    <w:rsid w:val="000F458D"/>
    <w:rsid w:val="00101443"/>
    <w:rsid w:val="00153D7F"/>
    <w:rsid w:val="001D1B2F"/>
    <w:rsid w:val="00223986"/>
    <w:rsid w:val="00300746"/>
    <w:rsid w:val="0036613A"/>
    <w:rsid w:val="0037163A"/>
    <w:rsid w:val="003A3119"/>
    <w:rsid w:val="003C088B"/>
    <w:rsid w:val="005A0534"/>
    <w:rsid w:val="005B4C41"/>
    <w:rsid w:val="005D2285"/>
    <w:rsid w:val="0062413A"/>
    <w:rsid w:val="00656E24"/>
    <w:rsid w:val="00670F4D"/>
    <w:rsid w:val="006D6DB8"/>
    <w:rsid w:val="006E692C"/>
    <w:rsid w:val="006F16FB"/>
    <w:rsid w:val="00752CDE"/>
    <w:rsid w:val="00896F60"/>
    <w:rsid w:val="008B5781"/>
    <w:rsid w:val="008D2A93"/>
    <w:rsid w:val="008F2752"/>
    <w:rsid w:val="00935C61"/>
    <w:rsid w:val="00AA591B"/>
    <w:rsid w:val="00AD048D"/>
    <w:rsid w:val="00B734AB"/>
    <w:rsid w:val="00BE2581"/>
    <w:rsid w:val="00E01E5F"/>
    <w:rsid w:val="00E31E5D"/>
    <w:rsid w:val="00E528EB"/>
    <w:rsid w:val="00F46369"/>
    <w:rsid w:val="00FB73C2"/>
    <w:rsid w:val="00FD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D80A53"/>
  <w14:defaultImageDpi w14:val="0"/>
  <w15:docId w15:val="{8EB9A68F-0E97-418C-BAAF-93475704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pPr>
      <w:widowControl w:val="0"/>
      <w:autoSpaceDE w:val="0"/>
      <w:autoSpaceDN w:val="0"/>
      <w:adjustRightInd w:val="0"/>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752C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52CDE"/>
    <w:rPr>
      <w:rFonts w:ascii="Segoe UI" w:hAnsi="Segoe UI" w:cs="Segoe UI"/>
      <w:sz w:val="18"/>
      <w:szCs w:val="18"/>
    </w:rPr>
  </w:style>
  <w:style w:type="paragraph" w:styleId="Header">
    <w:name w:val="header"/>
    <w:basedOn w:val="Normal"/>
    <w:link w:val="HeaderChar"/>
    <w:uiPriority w:val="99"/>
    <w:unhideWhenUsed/>
    <w:rsid w:val="00101443"/>
    <w:pPr>
      <w:tabs>
        <w:tab w:val="center" w:pos="4680"/>
        <w:tab w:val="right" w:pos="9360"/>
      </w:tabs>
    </w:pPr>
  </w:style>
  <w:style w:type="character" w:customStyle="1" w:styleId="HeaderChar">
    <w:name w:val="Header Char"/>
    <w:basedOn w:val="DefaultParagraphFont"/>
    <w:link w:val="Header"/>
    <w:uiPriority w:val="99"/>
    <w:locked/>
    <w:rsid w:val="00101443"/>
    <w:rPr>
      <w:rFonts w:ascii="Times New Roman" w:hAnsi="Times New Roman" w:cs="Times New Roman"/>
      <w:sz w:val="20"/>
      <w:szCs w:val="20"/>
    </w:rPr>
  </w:style>
  <w:style w:type="paragraph" w:styleId="Footer">
    <w:name w:val="footer"/>
    <w:basedOn w:val="Normal"/>
    <w:link w:val="FooterChar"/>
    <w:uiPriority w:val="99"/>
    <w:unhideWhenUsed/>
    <w:rsid w:val="00101443"/>
    <w:pPr>
      <w:tabs>
        <w:tab w:val="center" w:pos="4680"/>
        <w:tab w:val="right" w:pos="9360"/>
      </w:tabs>
    </w:pPr>
  </w:style>
  <w:style w:type="character" w:customStyle="1" w:styleId="FooterChar">
    <w:name w:val="Footer Char"/>
    <w:basedOn w:val="DefaultParagraphFont"/>
    <w:link w:val="Footer"/>
    <w:uiPriority w:val="99"/>
    <w:locked/>
    <w:rsid w:val="00101443"/>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034BE4"/>
    <w:rPr>
      <w:rFonts w:cs="Times New Roman"/>
      <w:sz w:val="16"/>
      <w:szCs w:val="16"/>
    </w:rPr>
  </w:style>
  <w:style w:type="paragraph" w:styleId="CommentText">
    <w:name w:val="annotation text"/>
    <w:basedOn w:val="Normal"/>
    <w:link w:val="CommentTextChar"/>
    <w:uiPriority w:val="99"/>
    <w:semiHidden/>
    <w:unhideWhenUsed/>
    <w:rsid w:val="00034BE4"/>
  </w:style>
  <w:style w:type="character" w:customStyle="1" w:styleId="CommentTextChar">
    <w:name w:val="Comment Text Char"/>
    <w:basedOn w:val="DefaultParagraphFont"/>
    <w:link w:val="CommentText"/>
    <w:uiPriority w:val="99"/>
    <w:semiHidden/>
    <w:locked/>
    <w:rsid w:val="00034BE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4BE4"/>
    <w:rPr>
      <w:b/>
      <w:bCs/>
    </w:rPr>
  </w:style>
  <w:style w:type="character" w:customStyle="1" w:styleId="CommentSubjectChar">
    <w:name w:val="Comment Subject Char"/>
    <w:basedOn w:val="CommentTextChar"/>
    <w:link w:val="CommentSubject"/>
    <w:uiPriority w:val="99"/>
    <w:semiHidden/>
    <w:locked/>
    <w:rsid w:val="00034BE4"/>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Whiteman</dc:creator>
  <cp:keywords/>
  <dc:description/>
  <cp:lastModifiedBy>Hon. William Donnino</cp:lastModifiedBy>
  <cp:revision>4</cp:revision>
  <cp:lastPrinted>2025-05-26T20:27:00Z</cp:lastPrinted>
  <dcterms:created xsi:type="dcterms:W3CDTF">2025-05-26T20:27:00Z</dcterms:created>
  <dcterms:modified xsi:type="dcterms:W3CDTF">2025-05-27T01:18:00Z</dcterms:modified>
</cp:coreProperties>
</file>