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C2AA1" w14:textId="14F2FE3E" w:rsidR="00EF1F3C" w:rsidRPr="00E34FCF" w:rsidRDefault="00A75AB3" w:rsidP="00E34FCF">
      <w:pPr>
        <w:pStyle w:val="NoSpacing"/>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ind w:left="-720" w:firstLine="720"/>
        <w:jc w:val="left"/>
        <w:rPr>
          <w:rFonts w:ascii="Times New Roman" w:hAnsi="Times New Roman" w:cs="Times New Roman"/>
          <w:sz w:val="28"/>
          <w:szCs w:val="28"/>
        </w:rPr>
      </w:pPr>
      <w:r w:rsidRPr="00E34FCF">
        <w:rPr>
          <w:sz w:val="28"/>
          <w:szCs w:val="28"/>
          <w:lang w:val="en-CA"/>
        </w:rPr>
        <w:fldChar w:fldCharType="begin"/>
      </w:r>
      <w:r w:rsidRPr="00E34FCF">
        <w:rPr>
          <w:sz w:val="28"/>
          <w:szCs w:val="28"/>
          <w:lang w:val="en-CA"/>
        </w:rPr>
        <w:instrText xml:space="preserve"> SEQ CHAPTER \h \r 1</w:instrText>
      </w:r>
      <w:r w:rsidRPr="00E34FCF">
        <w:rPr>
          <w:sz w:val="28"/>
          <w:szCs w:val="28"/>
          <w:lang w:val="en-CA"/>
        </w:rPr>
        <w:fldChar w:fldCharType="end"/>
      </w:r>
      <w:r w:rsidRPr="00E34FCF">
        <w:rPr>
          <w:rFonts w:ascii="Times New Roman" w:hAnsi="Times New Roman" w:cs="Times New Roman"/>
          <w:b/>
          <w:bCs/>
          <w:sz w:val="28"/>
          <w:szCs w:val="28"/>
        </w:rPr>
        <w:t>10.03</w:t>
      </w:r>
      <w:r w:rsidR="00E34FCF" w:rsidRPr="00E34FCF">
        <w:rPr>
          <w:rFonts w:ascii="Times New Roman" w:hAnsi="Times New Roman" w:cs="Times New Roman"/>
          <w:b/>
          <w:bCs/>
          <w:sz w:val="28"/>
          <w:szCs w:val="28"/>
        </w:rPr>
        <w:t>.</w:t>
      </w:r>
      <w:r w:rsidRPr="00E34FCF">
        <w:rPr>
          <w:rFonts w:ascii="Times New Roman" w:hAnsi="Times New Roman" w:cs="Times New Roman"/>
          <w:b/>
          <w:bCs/>
          <w:sz w:val="28"/>
          <w:szCs w:val="28"/>
        </w:rPr>
        <w:t xml:space="preserve"> Best Evidence Rule</w:t>
      </w:r>
      <w:bookmarkStart w:id="0" w:name="_GoBack"/>
      <w:bookmarkEnd w:id="0"/>
    </w:p>
    <w:p w14:paraId="2D2C1537" w14:textId="77777777" w:rsidR="00EF1F3C" w:rsidRPr="00E34FCF" w:rsidRDefault="00EF1F3C" w:rsidP="00E34FCF">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ind w:firstLine="720"/>
        <w:jc w:val="left"/>
        <w:rPr>
          <w:rFonts w:ascii="Times New Roman" w:hAnsi="Times New Roman" w:cs="Times New Roman"/>
          <w:sz w:val="28"/>
          <w:szCs w:val="28"/>
        </w:rPr>
      </w:pPr>
    </w:p>
    <w:p w14:paraId="0F36B7B3" w14:textId="77777777" w:rsidR="00EF1F3C" w:rsidRPr="00E34FCF" w:rsidRDefault="00A75AB3" w:rsidP="00E34FCF">
      <w:pPr>
        <w:widowControl/>
        <w:tabs>
          <w:tab w:val="left" w:pos="720"/>
          <w:tab w:val="left" w:pos="1440"/>
          <w:tab w:val="left" w:pos="2160"/>
          <w:tab w:val="left" w:pos="2880"/>
          <w:tab w:val="left" w:pos="3600"/>
          <w:tab w:val="left" w:pos="4320"/>
          <w:tab w:val="left" w:pos="5040"/>
          <w:tab w:val="left" w:pos="5760"/>
          <w:tab w:val="left" w:pos="6480"/>
          <w:tab w:val="left" w:pos="7198"/>
        </w:tabs>
        <w:ind w:left="720" w:right="720"/>
        <w:jc w:val="both"/>
        <w:rPr>
          <w:b/>
          <w:bCs/>
          <w:sz w:val="28"/>
          <w:szCs w:val="28"/>
        </w:rPr>
      </w:pPr>
      <w:r w:rsidRPr="00E34FCF">
        <w:rPr>
          <w:b/>
          <w:bCs/>
          <w:sz w:val="28"/>
          <w:szCs w:val="28"/>
        </w:rPr>
        <w:t xml:space="preserve">When a party seeks to prove the contents of a writing, recording, or photograph that is in dispute, the writing, recording, or photograph must be proved by production of the original, except when the production is excused as provided in this article. </w:t>
      </w:r>
    </w:p>
    <w:p w14:paraId="413203E7" w14:textId="77777777" w:rsidR="00EF1F3C" w:rsidRPr="00E34FCF" w:rsidRDefault="00EF1F3C" w:rsidP="00E34FCF">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198"/>
        </w:tabs>
        <w:ind w:right="720"/>
        <w:rPr>
          <w:rFonts w:ascii="Times New Roman" w:hAnsi="Times New Roman" w:cs="Times New Roman"/>
          <w:b/>
          <w:bCs/>
          <w:sz w:val="28"/>
          <w:szCs w:val="28"/>
        </w:rPr>
      </w:pPr>
    </w:p>
    <w:p w14:paraId="36CC7F66" w14:textId="77777777" w:rsidR="00EF1F3C" w:rsidRPr="00E34FCF" w:rsidRDefault="00A75AB3" w:rsidP="00E34FCF">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center"/>
        <w:rPr>
          <w:rFonts w:ascii="Times New Roman" w:hAnsi="Times New Roman" w:cs="Times New Roman"/>
          <w:b/>
          <w:bCs/>
          <w:sz w:val="24"/>
          <w:szCs w:val="24"/>
        </w:rPr>
      </w:pPr>
      <w:r w:rsidRPr="00E34FCF">
        <w:rPr>
          <w:rFonts w:ascii="Times New Roman" w:hAnsi="Times New Roman" w:cs="Times New Roman"/>
          <w:b/>
          <w:bCs/>
          <w:sz w:val="24"/>
          <w:szCs w:val="24"/>
        </w:rPr>
        <w:t>Note</w:t>
      </w:r>
    </w:p>
    <w:p w14:paraId="5E4034A9" w14:textId="77777777" w:rsidR="00EF1F3C" w:rsidRPr="00E34FCF" w:rsidRDefault="00EF1F3C" w:rsidP="00E34FCF">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b/>
          <w:bCs/>
          <w:sz w:val="24"/>
          <w:szCs w:val="24"/>
        </w:rPr>
      </w:pPr>
    </w:p>
    <w:p w14:paraId="6031119B" w14:textId="77777777" w:rsidR="00EF1F3C" w:rsidRPr="00E34FCF" w:rsidRDefault="003D0011" w:rsidP="003D0011">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4"/>
          <w:szCs w:val="24"/>
        </w:rPr>
      </w:pPr>
      <w:r>
        <w:rPr>
          <w:rFonts w:ascii="Times New Roman" w:hAnsi="Times New Roman" w:cs="Times New Roman"/>
          <w:sz w:val="24"/>
          <w:szCs w:val="24"/>
        </w:rPr>
        <w:tab/>
      </w:r>
      <w:r w:rsidR="00A75AB3" w:rsidRPr="00E34FCF">
        <w:rPr>
          <w:rFonts w:ascii="Times New Roman" w:hAnsi="Times New Roman" w:cs="Times New Roman"/>
          <w:sz w:val="24"/>
          <w:szCs w:val="24"/>
        </w:rPr>
        <w:t>This rule restates New York’s long-standing best evidence rule, which provides that, when a party is seeking to prove the disputed contents of a writing, recording, or photograph, as defined in rule 10.01 of the Guide to New York Evidence, the party must produce the original, as also defined in rule 10.01, unless nonproduction is excused for reasons allowed by decisional law or by statute (</w:t>
      </w:r>
      <w:r w:rsidR="00A75AB3" w:rsidRPr="00E34FCF">
        <w:rPr>
          <w:rFonts w:ascii="Times New Roman" w:hAnsi="Times New Roman" w:cs="Times New Roman"/>
          <w:i/>
          <w:iCs/>
          <w:sz w:val="24"/>
          <w:szCs w:val="24"/>
        </w:rPr>
        <w:t>e.g. People v Haggerty</w:t>
      </w:r>
      <w:r w:rsidR="00A75AB3" w:rsidRPr="00E34FCF">
        <w:rPr>
          <w:rFonts w:ascii="Times New Roman" w:hAnsi="Times New Roman" w:cs="Times New Roman"/>
          <w:sz w:val="24"/>
          <w:szCs w:val="24"/>
        </w:rPr>
        <w:t xml:space="preserve">, 23 NY3d 871, 876 [2014] [“The best evidence rule requires the production of an original writing where its contents are in dispute and sought to be proven” (internal quotation marks omitted)]; </w:t>
      </w:r>
      <w:r w:rsidR="00A75AB3" w:rsidRPr="00E34FCF">
        <w:rPr>
          <w:rFonts w:ascii="Times New Roman" w:hAnsi="Times New Roman" w:cs="Times New Roman"/>
          <w:i/>
          <w:iCs/>
          <w:color w:val="3D3D3D"/>
          <w:sz w:val="24"/>
          <w:szCs w:val="24"/>
        </w:rPr>
        <w:t>Schozer v William Penn Life Ins. Co. of N.Y.</w:t>
      </w:r>
      <w:r w:rsidR="00A75AB3" w:rsidRPr="00E34FCF">
        <w:rPr>
          <w:rFonts w:ascii="Times New Roman" w:hAnsi="Times New Roman" w:cs="Times New Roman"/>
          <w:color w:val="3D3D3D"/>
          <w:sz w:val="24"/>
          <w:szCs w:val="24"/>
        </w:rPr>
        <w:t xml:space="preserve">, 84 NY2d 639, 643 [1994] [“(B)est evidence rule simply requires the production of an original writing where its contents are in dispute and sought to be proven”]; </w:t>
      </w:r>
      <w:r w:rsidR="00A75AB3" w:rsidRPr="00E34FCF">
        <w:rPr>
          <w:rFonts w:ascii="Times New Roman" w:hAnsi="Times New Roman" w:cs="Times New Roman"/>
          <w:i/>
          <w:iCs/>
          <w:sz w:val="24"/>
          <w:szCs w:val="24"/>
        </w:rPr>
        <w:t>Foot v Bentley</w:t>
      </w:r>
      <w:r w:rsidR="00A75AB3" w:rsidRPr="00E34FCF">
        <w:rPr>
          <w:rFonts w:ascii="Times New Roman" w:hAnsi="Times New Roman" w:cs="Times New Roman"/>
          <w:sz w:val="24"/>
          <w:szCs w:val="24"/>
        </w:rPr>
        <w:t>, 44 NY 166, 171 [1870] [Rule violated when trial court admitted letter-press copies of letters as the copies did not “obviate the necessity of producing the originals” of the letters]).</w:t>
      </w:r>
    </w:p>
    <w:p w14:paraId="557D5BD2" w14:textId="77777777" w:rsidR="00EF1F3C" w:rsidRPr="00E34FCF" w:rsidRDefault="00EF1F3C" w:rsidP="003D0011">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4"/>
          <w:szCs w:val="24"/>
        </w:rPr>
      </w:pPr>
    </w:p>
    <w:p w14:paraId="45387270" w14:textId="77777777" w:rsidR="00EF1F3C" w:rsidRPr="00E34FCF" w:rsidRDefault="003D0011" w:rsidP="003D0011">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4"/>
          <w:szCs w:val="24"/>
        </w:rPr>
      </w:pPr>
      <w:r>
        <w:rPr>
          <w:rFonts w:ascii="Times New Roman" w:hAnsi="Times New Roman" w:cs="Times New Roman"/>
          <w:sz w:val="24"/>
          <w:szCs w:val="24"/>
        </w:rPr>
        <w:tab/>
      </w:r>
      <w:r w:rsidR="00A75AB3" w:rsidRPr="00E34FCF">
        <w:rPr>
          <w:rFonts w:ascii="Times New Roman" w:hAnsi="Times New Roman" w:cs="Times New Roman"/>
          <w:sz w:val="24"/>
          <w:szCs w:val="24"/>
        </w:rPr>
        <w:t xml:space="preserve">As to the rule’s underlying rationale, the Court of Appeals explained in </w:t>
      </w:r>
      <w:r w:rsidR="00A75AB3" w:rsidRPr="00E34FCF">
        <w:rPr>
          <w:rFonts w:ascii="Times New Roman" w:hAnsi="Times New Roman" w:cs="Times New Roman"/>
          <w:i/>
          <w:iCs/>
          <w:sz w:val="24"/>
          <w:szCs w:val="24"/>
        </w:rPr>
        <w:t>Schozer</w:t>
      </w:r>
      <w:r w:rsidR="00A75AB3" w:rsidRPr="00E34FCF">
        <w:rPr>
          <w:rFonts w:ascii="Times New Roman" w:hAnsi="Times New Roman" w:cs="Times New Roman"/>
          <w:sz w:val="24"/>
          <w:szCs w:val="24"/>
        </w:rPr>
        <w:t>: “At its genesis, the rule was primarily designed to guard against ‘mistakes in copying or transcribing the original writing.’ Given the technological advancements in copying, in modern day practice the rule serves mainly to protect against fraud, perjury and ‘inaccuracies . . . which derive from faulty memory’ ” (84 NY2d at 643-</w:t>
      </w:r>
      <w:r w:rsidR="00037C8B">
        <w:rPr>
          <w:rFonts w:ascii="Times New Roman" w:hAnsi="Times New Roman" w:cs="Times New Roman"/>
          <w:sz w:val="24"/>
          <w:szCs w:val="24"/>
        </w:rPr>
        <w:t>6</w:t>
      </w:r>
      <w:r w:rsidR="00A75AB3" w:rsidRPr="00E34FCF">
        <w:rPr>
          <w:rFonts w:ascii="Times New Roman" w:hAnsi="Times New Roman" w:cs="Times New Roman"/>
          <w:sz w:val="24"/>
          <w:szCs w:val="24"/>
        </w:rPr>
        <w:t xml:space="preserve">44 [citations omitted]; </w:t>
      </w:r>
      <w:r w:rsidR="00A75AB3" w:rsidRPr="00E34FCF">
        <w:rPr>
          <w:rFonts w:ascii="Times New Roman" w:hAnsi="Times New Roman" w:cs="Times New Roman"/>
          <w:i/>
          <w:iCs/>
          <w:sz w:val="24"/>
          <w:szCs w:val="24"/>
        </w:rPr>
        <w:t>see also People v Haggerty</w:t>
      </w:r>
      <w:r w:rsidR="00A75AB3" w:rsidRPr="00E34FCF">
        <w:rPr>
          <w:rFonts w:ascii="Times New Roman" w:hAnsi="Times New Roman" w:cs="Times New Roman"/>
          <w:sz w:val="24"/>
          <w:szCs w:val="24"/>
        </w:rPr>
        <w:t>, 23 NY3d 871, 876 [2014] [“The rule protects against fraud, perjury, and inaccurate recollection by allowing the jury to judge a document by its own literal terms”]).</w:t>
      </w:r>
    </w:p>
    <w:p w14:paraId="218B02CA" w14:textId="77777777" w:rsidR="00EF1F3C" w:rsidRPr="00E34FCF" w:rsidRDefault="00EF1F3C" w:rsidP="003D0011">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4"/>
          <w:szCs w:val="24"/>
        </w:rPr>
      </w:pPr>
    </w:p>
    <w:p w14:paraId="6CF6B986" w14:textId="77777777" w:rsidR="00EF1F3C" w:rsidRPr="00E34FCF" w:rsidRDefault="003D0011" w:rsidP="003D0011">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4"/>
          <w:szCs w:val="24"/>
        </w:rPr>
      </w:pPr>
      <w:r>
        <w:rPr>
          <w:rFonts w:ascii="Times New Roman" w:hAnsi="Times New Roman" w:cs="Times New Roman"/>
          <w:sz w:val="24"/>
          <w:szCs w:val="24"/>
        </w:rPr>
        <w:tab/>
      </w:r>
      <w:r w:rsidR="00A75AB3" w:rsidRPr="00E34FCF">
        <w:rPr>
          <w:rFonts w:ascii="Times New Roman" w:hAnsi="Times New Roman" w:cs="Times New Roman"/>
          <w:sz w:val="24"/>
          <w:szCs w:val="24"/>
        </w:rPr>
        <w:t>The rule does not apply, however, when a party seeks to prove a fact that is memorialized in a writing, recording, or photograph if that fact has an existence independent of a writing, recording, or photograph (</w:t>
      </w:r>
      <w:r w:rsidR="00A75AB3" w:rsidRPr="00E34FCF">
        <w:rPr>
          <w:rFonts w:ascii="Times New Roman" w:hAnsi="Times New Roman" w:cs="Times New Roman"/>
          <w:i/>
          <w:iCs/>
          <w:sz w:val="24"/>
          <w:szCs w:val="24"/>
        </w:rPr>
        <w:t>McRorie v Monroe</w:t>
      </w:r>
      <w:r w:rsidR="00A75AB3" w:rsidRPr="00E34FCF">
        <w:rPr>
          <w:rFonts w:ascii="Times New Roman" w:hAnsi="Times New Roman" w:cs="Times New Roman"/>
          <w:sz w:val="24"/>
          <w:szCs w:val="24"/>
        </w:rPr>
        <w:t xml:space="preserve">, 203 NY 426, 429-430 [1911] [oral testimony may be proved without reference to the stenographer’s minutes]; </w:t>
      </w:r>
      <w:r w:rsidR="00A75AB3" w:rsidRPr="00E34FCF">
        <w:rPr>
          <w:rFonts w:ascii="Times New Roman" w:hAnsi="Times New Roman" w:cs="Times New Roman"/>
          <w:i/>
          <w:iCs/>
          <w:sz w:val="24"/>
          <w:szCs w:val="24"/>
        </w:rPr>
        <w:t>Steele v Lord</w:t>
      </w:r>
      <w:r w:rsidR="00A75AB3" w:rsidRPr="00E34FCF">
        <w:rPr>
          <w:rFonts w:ascii="Times New Roman" w:hAnsi="Times New Roman" w:cs="Times New Roman"/>
          <w:sz w:val="24"/>
          <w:szCs w:val="24"/>
        </w:rPr>
        <w:t xml:space="preserve">, 70 NY 280, 283-284 [1877] [payment may be proved without producing the written receipt provided]; </w:t>
      </w:r>
      <w:r w:rsidR="00A75AB3" w:rsidRPr="00E34FCF">
        <w:rPr>
          <w:rFonts w:ascii="Times New Roman" w:hAnsi="Times New Roman" w:cs="Times New Roman"/>
          <w:i/>
          <w:iCs/>
          <w:sz w:val="24"/>
          <w:szCs w:val="24"/>
        </w:rPr>
        <w:t>Grieshaber v City of Albany</w:t>
      </w:r>
      <w:r w:rsidR="00A75AB3" w:rsidRPr="00E34FCF">
        <w:rPr>
          <w:rFonts w:ascii="Times New Roman" w:hAnsi="Times New Roman" w:cs="Times New Roman"/>
          <w:sz w:val="24"/>
          <w:szCs w:val="24"/>
        </w:rPr>
        <w:t>, 279 AD2d 232, 235 [3d Dept 2001] [“</w:t>
      </w:r>
      <w:r w:rsidR="00A75AB3" w:rsidRPr="00E34FCF">
        <w:rPr>
          <w:rFonts w:ascii="Times New Roman" w:hAnsi="Times New Roman" w:cs="Times New Roman"/>
          <w:color w:val="3D3D3D"/>
          <w:sz w:val="24"/>
          <w:szCs w:val="24"/>
        </w:rPr>
        <w:t>Where, as here, a party seeks to prove the content of a conversation, which is a fact existing independently of an available recording of that conversation, an individual who heard the conversation may testify as to its content despite the existence of the tape recording</w:t>
      </w:r>
      <w:r w:rsidR="009210C3">
        <w:rPr>
          <w:rFonts w:ascii="Times New Roman" w:hAnsi="Times New Roman" w:cs="Times New Roman"/>
          <w:color w:val="3D3D3D"/>
          <w:sz w:val="24"/>
          <w:szCs w:val="24"/>
        </w:rPr>
        <w:t>”</w:t>
      </w:r>
      <w:r w:rsidR="00A75AB3" w:rsidRPr="00E34FCF">
        <w:rPr>
          <w:rFonts w:ascii="Times New Roman" w:hAnsi="Times New Roman" w:cs="Times New Roman"/>
          <w:color w:val="3D3D3D"/>
          <w:sz w:val="24"/>
          <w:szCs w:val="24"/>
        </w:rPr>
        <w:t xml:space="preserve">]; </w:t>
      </w:r>
      <w:r w:rsidR="00A75AB3" w:rsidRPr="00E34FCF">
        <w:rPr>
          <w:rFonts w:ascii="Times New Roman" w:hAnsi="Times New Roman" w:cs="Times New Roman"/>
          <w:i/>
          <w:iCs/>
          <w:color w:val="3D3D3D"/>
          <w:sz w:val="24"/>
          <w:szCs w:val="24"/>
        </w:rPr>
        <w:t>Universal Grain Corp. v Lamport &amp; Holt Line</w:t>
      </w:r>
      <w:r w:rsidR="00A75AB3" w:rsidRPr="00E34FCF">
        <w:rPr>
          <w:rFonts w:ascii="Times New Roman" w:hAnsi="Times New Roman" w:cs="Times New Roman"/>
          <w:color w:val="3D3D3D"/>
          <w:sz w:val="24"/>
          <w:szCs w:val="24"/>
        </w:rPr>
        <w:t xml:space="preserve">, 54 NYS2d 53, 53-54 [App Term, 1st Dept 1945] [“The best evidence rule has no application to the instant case. </w:t>
      </w:r>
      <w:r w:rsidR="00A75AB3" w:rsidRPr="00E34FCF">
        <w:rPr>
          <w:rFonts w:ascii="Times New Roman" w:hAnsi="Times New Roman" w:cs="Times New Roman"/>
          <w:color w:val="3D3D3D"/>
          <w:sz w:val="24"/>
          <w:szCs w:val="24"/>
        </w:rPr>
        <w:lastRenderedPageBreak/>
        <w:t>When a party seeks to prove a fact which has an existence independently of any writing, he may do so by parol, even though the fact has been reduced to, or is evidenced by, a writing. Here plaintiff relied on the positive and direct testimony of witnesses having independent knowledge” (citation omitted)]). Similarly, it is not necessary to use certificates to prove such facts as marriage, birth, age, and death (</w:t>
      </w:r>
      <w:r w:rsidR="00A75AB3" w:rsidRPr="00E34FCF">
        <w:rPr>
          <w:rFonts w:ascii="Times New Roman" w:hAnsi="Times New Roman" w:cs="Times New Roman"/>
          <w:i/>
          <w:iCs/>
          <w:color w:val="3D3D3D"/>
          <w:sz w:val="24"/>
          <w:szCs w:val="24"/>
        </w:rPr>
        <w:t>see</w:t>
      </w:r>
      <w:r w:rsidR="00A75AB3" w:rsidRPr="00E34FCF">
        <w:rPr>
          <w:rFonts w:ascii="Times New Roman" w:hAnsi="Times New Roman" w:cs="Times New Roman"/>
          <w:color w:val="3D3D3D"/>
          <w:sz w:val="24"/>
          <w:szCs w:val="24"/>
        </w:rPr>
        <w:t xml:space="preserve"> </w:t>
      </w:r>
      <w:r w:rsidR="00A75AB3" w:rsidRPr="00E34FCF">
        <w:rPr>
          <w:rFonts w:ascii="Times New Roman" w:hAnsi="Times New Roman" w:cs="Times New Roman"/>
          <w:i/>
          <w:iCs/>
          <w:color w:val="3D3D3D"/>
          <w:sz w:val="24"/>
          <w:szCs w:val="24"/>
        </w:rPr>
        <w:t>Commonwealth v Dill</w:t>
      </w:r>
      <w:r w:rsidR="00A75AB3" w:rsidRPr="00E34FCF">
        <w:rPr>
          <w:rFonts w:ascii="Times New Roman" w:hAnsi="Times New Roman" w:cs="Times New Roman"/>
          <w:color w:val="3D3D3D"/>
          <w:sz w:val="24"/>
          <w:szCs w:val="24"/>
        </w:rPr>
        <w:t xml:space="preserve">, 156 Mass 226, </w:t>
      </w:r>
      <w:r w:rsidR="00386FA3">
        <w:rPr>
          <w:rFonts w:ascii="Times New Roman" w:hAnsi="Times New Roman" w:cs="Times New Roman"/>
          <w:color w:val="3D3D3D"/>
          <w:sz w:val="24"/>
          <w:szCs w:val="24"/>
        </w:rPr>
        <w:t xml:space="preserve">227, </w:t>
      </w:r>
      <w:r w:rsidR="008B2620">
        <w:rPr>
          <w:rFonts w:ascii="Times New Roman" w:hAnsi="Times New Roman" w:cs="Times New Roman"/>
          <w:color w:val="3D3D3D"/>
          <w:sz w:val="24"/>
          <w:szCs w:val="24"/>
        </w:rPr>
        <w:t>30 NE 1016</w:t>
      </w:r>
      <w:r w:rsidR="00386FA3">
        <w:rPr>
          <w:rFonts w:ascii="Times New Roman" w:hAnsi="Times New Roman" w:cs="Times New Roman"/>
          <w:color w:val="3D3D3D"/>
          <w:sz w:val="24"/>
          <w:szCs w:val="24"/>
        </w:rPr>
        <w:t>, 1017</w:t>
      </w:r>
      <w:r w:rsidR="008B2620">
        <w:rPr>
          <w:rFonts w:ascii="Times New Roman" w:hAnsi="Times New Roman" w:cs="Times New Roman"/>
          <w:color w:val="3D3D3D"/>
          <w:sz w:val="24"/>
          <w:szCs w:val="24"/>
        </w:rPr>
        <w:t xml:space="preserve"> </w:t>
      </w:r>
      <w:r w:rsidR="00A75AB3" w:rsidRPr="00E34FCF">
        <w:rPr>
          <w:rFonts w:ascii="Times New Roman" w:hAnsi="Times New Roman" w:cs="Times New Roman"/>
          <w:color w:val="3D3D3D"/>
          <w:sz w:val="24"/>
          <w:szCs w:val="24"/>
        </w:rPr>
        <w:t>[1892</w:t>
      </w:r>
      <w:r w:rsidR="00F9574D">
        <w:rPr>
          <w:rFonts w:ascii="Times New Roman" w:hAnsi="Times New Roman" w:cs="Times New Roman"/>
          <w:color w:val="3D3D3D"/>
          <w:sz w:val="24"/>
          <w:szCs w:val="24"/>
        </w:rPr>
        <w:t xml:space="preserve">, </w:t>
      </w:r>
      <w:r w:rsidR="00A75AB3" w:rsidRPr="00E34FCF">
        <w:rPr>
          <w:rFonts w:ascii="Times New Roman" w:hAnsi="Times New Roman" w:cs="Times New Roman"/>
          <w:color w:val="3D3D3D"/>
          <w:sz w:val="24"/>
          <w:szCs w:val="24"/>
        </w:rPr>
        <w:t>Holmes, J.] [“(T)he record of a marriage . . . is a mere memorandum or declaration of the fact which effected the result, not itself the fact, nor that which has been constituted the only evidence of the fact. There is no reason why the oath of the person who did the act should be deemed inferior evidence to a written statement by him or another” (citation omitted)]). In these instances, the proof is directed to the occurrence of an event and not to the contents of the writing or recording.</w:t>
      </w:r>
    </w:p>
    <w:p w14:paraId="50384815" w14:textId="77777777" w:rsidR="00EF1F3C" w:rsidRPr="00E34FCF" w:rsidRDefault="00EF1F3C" w:rsidP="003D0011">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4"/>
          <w:szCs w:val="24"/>
        </w:rPr>
      </w:pPr>
    </w:p>
    <w:p w14:paraId="1A3237F4" w14:textId="77777777" w:rsidR="00EF1F3C" w:rsidRPr="00E34FCF" w:rsidRDefault="003D0011" w:rsidP="003D0011">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4"/>
          <w:szCs w:val="24"/>
        </w:rPr>
      </w:pPr>
      <w:r>
        <w:rPr>
          <w:rFonts w:ascii="Times New Roman" w:hAnsi="Times New Roman" w:cs="Times New Roman"/>
          <w:color w:val="3D3D3D"/>
          <w:sz w:val="24"/>
          <w:szCs w:val="24"/>
        </w:rPr>
        <w:tab/>
      </w:r>
      <w:r w:rsidR="00A75AB3" w:rsidRPr="00E34FCF">
        <w:rPr>
          <w:rFonts w:ascii="Times New Roman" w:hAnsi="Times New Roman" w:cs="Times New Roman"/>
          <w:color w:val="3D3D3D"/>
          <w:sz w:val="24"/>
          <w:szCs w:val="24"/>
        </w:rPr>
        <w:t xml:space="preserve">The core element of the best evidence rule is “proof of content.” </w:t>
      </w:r>
      <w:r w:rsidR="00A75AB3" w:rsidRPr="00E34FCF">
        <w:rPr>
          <w:rFonts w:ascii="Times New Roman" w:hAnsi="Times New Roman" w:cs="Times New Roman"/>
          <w:sz w:val="24"/>
          <w:szCs w:val="24"/>
        </w:rPr>
        <w:t>The rule requires the production of the original of a writing, recording, or photograph only when a party is seeking to prove the contents of the writing, recording, or photograph (</w:t>
      </w:r>
      <w:r w:rsidR="00A75AB3" w:rsidRPr="00E34FCF">
        <w:rPr>
          <w:rFonts w:ascii="Times New Roman" w:hAnsi="Times New Roman" w:cs="Times New Roman"/>
          <w:i/>
          <w:iCs/>
          <w:sz w:val="24"/>
          <w:szCs w:val="24"/>
        </w:rPr>
        <w:t>e.g. Flynn v Manhattan &amp; Bronx Surface Tr. Operating Auth.</w:t>
      </w:r>
      <w:r w:rsidR="00A75AB3" w:rsidRPr="00E34FCF">
        <w:rPr>
          <w:rFonts w:ascii="Times New Roman" w:hAnsi="Times New Roman" w:cs="Times New Roman"/>
          <w:sz w:val="24"/>
          <w:szCs w:val="24"/>
        </w:rPr>
        <w:t xml:space="preserve">, 61 NY2d 769, 771 [1984]; </w:t>
      </w:r>
      <w:r w:rsidR="00A75AB3" w:rsidRPr="00E34FCF">
        <w:rPr>
          <w:rFonts w:ascii="Times New Roman" w:hAnsi="Times New Roman" w:cs="Times New Roman"/>
          <w:i/>
          <w:iCs/>
          <w:sz w:val="24"/>
          <w:szCs w:val="24"/>
        </w:rPr>
        <w:t>Clarke v New York City Tr. Auth.</w:t>
      </w:r>
      <w:r w:rsidR="00A75AB3" w:rsidRPr="00E34FCF">
        <w:rPr>
          <w:rFonts w:ascii="Times New Roman" w:hAnsi="Times New Roman" w:cs="Times New Roman"/>
          <w:sz w:val="24"/>
          <w:szCs w:val="24"/>
        </w:rPr>
        <w:t>, 174 AD2d 268, 273 [1st Dept 1992]). Thus, the rule will apply when under the governing substantive law a fact required to be proved is a written transaction, e.g., a deed, will, or written contract (</w:t>
      </w:r>
      <w:r w:rsidR="00A75AB3" w:rsidRPr="00E34FCF">
        <w:rPr>
          <w:rFonts w:ascii="Times New Roman" w:hAnsi="Times New Roman" w:cs="Times New Roman"/>
          <w:i/>
          <w:iCs/>
          <w:sz w:val="24"/>
          <w:szCs w:val="24"/>
        </w:rPr>
        <w:t>see Mahaney v Carr</w:t>
      </w:r>
      <w:r w:rsidR="00A75AB3" w:rsidRPr="00E34FCF">
        <w:rPr>
          <w:rFonts w:ascii="Times New Roman" w:hAnsi="Times New Roman" w:cs="Times New Roman"/>
          <w:sz w:val="24"/>
          <w:szCs w:val="24"/>
        </w:rPr>
        <w:t xml:space="preserve">, 175 NY 454, 461-462 [1903]; </w:t>
      </w:r>
      <w:r w:rsidR="00A75AB3" w:rsidRPr="00E34FCF">
        <w:rPr>
          <w:rFonts w:ascii="Times New Roman" w:hAnsi="Times New Roman" w:cs="Times New Roman"/>
          <w:i/>
          <w:iCs/>
          <w:sz w:val="24"/>
          <w:szCs w:val="24"/>
        </w:rPr>
        <w:t>Curran v Newport Assoc.</w:t>
      </w:r>
      <w:r w:rsidR="00A75AB3" w:rsidRPr="00E34FCF">
        <w:rPr>
          <w:rFonts w:ascii="Times New Roman" w:hAnsi="Times New Roman" w:cs="Times New Roman"/>
          <w:sz w:val="24"/>
          <w:szCs w:val="24"/>
        </w:rPr>
        <w:t xml:space="preserve">, 57 AD2d 882, 883 [2d Dept 1977]; </w:t>
      </w:r>
      <w:r w:rsidR="00A75AB3" w:rsidRPr="00E34FCF">
        <w:rPr>
          <w:rFonts w:ascii="Times New Roman" w:hAnsi="Times New Roman" w:cs="Times New Roman"/>
          <w:i/>
          <w:iCs/>
          <w:sz w:val="24"/>
          <w:szCs w:val="24"/>
        </w:rPr>
        <w:t>Matter of Hamilton</w:t>
      </w:r>
      <w:r w:rsidR="00A75AB3" w:rsidRPr="00E34FCF">
        <w:rPr>
          <w:rFonts w:ascii="Times New Roman" w:hAnsi="Times New Roman" w:cs="Times New Roman"/>
          <w:sz w:val="24"/>
          <w:szCs w:val="24"/>
        </w:rPr>
        <w:t>, 182 App Div 908, 908-909 [4th Dept 1918]), and a party chooses to prove a relevant fact by evidence of a writing or recording even though the substantive law does not require the writing or recording to be proved (</w:t>
      </w:r>
      <w:r w:rsidR="00A75AB3" w:rsidRPr="00E34FCF">
        <w:rPr>
          <w:rFonts w:ascii="Times New Roman" w:hAnsi="Times New Roman" w:cs="Times New Roman"/>
          <w:i/>
          <w:iCs/>
          <w:sz w:val="24"/>
          <w:szCs w:val="24"/>
        </w:rPr>
        <w:t xml:space="preserve">see </w:t>
      </w:r>
      <w:r w:rsidR="00A75AB3" w:rsidRPr="00E34FCF">
        <w:rPr>
          <w:rFonts w:ascii="Times New Roman" w:hAnsi="Times New Roman" w:cs="Times New Roman"/>
          <w:sz w:val="24"/>
          <w:szCs w:val="24"/>
        </w:rPr>
        <w:t>Barker &amp; Alexander, Evidence in New York State and Federal Courts § 10.1 [2d ed]; Martin, Capra &amp; Rossi, New York Evidence Handbook § 10.1.3 [2d ed]).</w:t>
      </w:r>
    </w:p>
    <w:p w14:paraId="13995BD1" w14:textId="77777777" w:rsidR="00EF1F3C" w:rsidRPr="00E34FCF" w:rsidRDefault="00EF1F3C" w:rsidP="003D0011">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4"/>
          <w:szCs w:val="24"/>
        </w:rPr>
      </w:pPr>
    </w:p>
    <w:p w14:paraId="7D642209" w14:textId="77777777" w:rsidR="00EF1F3C" w:rsidRPr="00E34FCF" w:rsidRDefault="00A75AB3" w:rsidP="003D0011">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s="Times New Roman"/>
          <w:sz w:val="24"/>
          <w:szCs w:val="24"/>
        </w:rPr>
      </w:pPr>
      <w:r w:rsidRPr="00E34FCF">
        <w:rPr>
          <w:rFonts w:ascii="Times New Roman" w:hAnsi="Times New Roman" w:cs="Times New Roman"/>
          <w:color w:val="3D3D3D"/>
          <w:sz w:val="24"/>
          <w:szCs w:val="24"/>
        </w:rPr>
        <w:tab/>
        <w:t>There are exceptions to the best evidence rule, however, as set forth in the ensuing rules:</w:t>
      </w:r>
    </w:p>
    <w:p w14:paraId="057AAD8E" w14:textId="77777777" w:rsidR="00EF1F3C" w:rsidRPr="00E34FCF" w:rsidRDefault="00EF1F3C" w:rsidP="003D00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sz w:val="24"/>
          <w:szCs w:val="24"/>
        </w:rPr>
      </w:pPr>
    </w:p>
    <w:p w14:paraId="1CE33520" w14:textId="77777777" w:rsidR="00EF1F3C" w:rsidRPr="00E34FCF" w:rsidRDefault="00EF1F3C" w:rsidP="003D00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sz w:val="24"/>
          <w:szCs w:val="24"/>
        </w:rPr>
        <w:sectPr w:rsidR="00EF1F3C" w:rsidRPr="00E34FCF" w:rsidSect="00E34FCF">
          <w:footerReference w:type="default" r:id="rId7"/>
          <w:type w:val="continuous"/>
          <w:pgSz w:w="12240" w:h="15840" w:code="1"/>
          <w:pgMar w:top="1440" w:right="2160" w:bottom="1440" w:left="2160" w:header="1440" w:footer="720" w:gutter="0"/>
          <w:cols w:space="720"/>
        </w:sectPr>
      </w:pPr>
    </w:p>
    <w:p w14:paraId="5379C306" w14:textId="77777777" w:rsidR="00EF1F3C" w:rsidRPr="00E34FCF" w:rsidRDefault="00A75AB3" w:rsidP="003D0011">
      <w:pPr>
        <w:pStyle w:val="L1-1"/>
        <w:widowControl/>
        <w:numPr>
          <w:ilvl w:val="0"/>
          <w:numId w:val="1"/>
        </w:numPr>
        <w:tabs>
          <w:tab w:val="left" w:pos="1008"/>
          <w:tab w:val="left" w:pos="1440"/>
          <w:tab w:val="left" w:pos="2160"/>
          <w:tab w:val="left" w:pos="2880"/>
          <w:tab w:val="left" w:pos="3600"/>
          <w:tab w:val="left" w:pos="4320"/>
          <w:tab w:val="left" w:pos="5040"/>
          <w:tab w:val="left" w:pos="5760"/>
          <w:tab w:val="left" w:pos="6480"/>
          <w:tab w:val="left" w:pos="6912"/>
        </w:tabs>
        <w:ind w:left="1008" w:hanging="360"/>
        <w:rPr>
          <w:rFonts w:ascii="Times New Roman" w:hAnsi="Times New Roman" w:cs="Times New Roman"/>
        </w:rPr>
      </w:pPr>
      <w:r w:rsidRPr="00E34FCF">
        <w:rPr>
          <w:rFonts w:ascii="Times New Roman" w:hAnsi="Times New Roman" w:cs="Times New Roman"/>
        </w:rPr>
        <w:t xml:space="preserve">10.05 Exception for Certain Reproductions and Copies </w:t>
      </w:r>
    </w:p>
    <w:p w14:paraId="013B9214" w14:textId="77777777" w:rsidR="00EF1F3C" w:rsidRPr="00E34FCF" w:rsidRDefault="00EF1F3C" w:rsidP="003D0011">
      <w:pPr>
        <w:pStyle w:val="ListParagra"/>
        <w:widowControl/>
        <w:numPr>
          <w:ilvl w:val="12"/>
          <w:numId w:val="0"/>
        </w:numPr>
        <w:tabs>
          <w:tab w:val="left" w:pos="1008"/>
          <w:tab w:val="left" w:pos="1440"/>
          <w:tab w:val="left" w:pos="2160"/>
          <w:tab w:val="left" w:pos="2880"/>
          <w:tab w:val="left" w:pos="3600"/>
          <w:tab w:val="left" w:pos="4320"/>
          <w:tab w:val="left" w:pos="5040"/>
          <w:tab w:val="left" w:pos="5760"/>
          <w:tab w:val="left" w:pos="6480"/>
          <w:tab w:val="left" w:pos="6912"/>
        </w:tabs>
        <w:spacing w:after="0" w:line="240" w:lineRule="auto"/>
        <w:ind w:left="1008"/>
        <w:rPr>
          <w:rFonts w:ascii="Times New Roman" w:hAnsi="Times New Roman" w:cs="Times New Roman"/>
          <w:sz w:val="24"/>
          <w:szCs w:val="24"/>
        </w:rPr>
      </w:pPr>
    </w:p>
    <w:p w14:paraId="655FB506" w14:textId="77777777" w:rsidR="00EF1F3C" w:rsidRPr="00E34FCF" w:rsidRDefault="00A75AB3" w:rsidP="003D0011">
      <w:pPr>
        <w:pStyle w:val="L1-1"/>
        <w:widowControl/>
        <w:numPr>
          <w:ilvl w:val="0"/>
          <w:numId w:val="1"/>
        </w:numPr>
        <w:tabs>
          <w:tab w:val="left" w:pos="1008"/>
          <w:tab w:val="left" w:pos="1440"/>
          <w:tab w:val="left" w:pos="2160"/>
          <w:tab w:val="left" w:pos="2880"/>
          <w:tab w:val="left" w:pos="3600"/>
          <w:tab w:val="left" w:pos="4320"/>
          <w:tab w:val="left" w:pos="5040"/>
          <w:tab w:val="left" w:pos="5760"/>
          <w:tab w:val="left" w:pos="6480"/>
          <w:tab w:val="left" w:pos="6912"/>
        </w:tabs>
        <w:ind w:left="1008" w:hanging="360"/>
        <w:rPr>
          <w:rFonts w:ascii="Times New Roman" w:hAnsi="Times New Roman" w:cs="Times New Roman"/>
        </w:rPr>
      </w:pPr>
      <w:r w:rsidRPr="00E34FCF">
        <w:rPr>
          <w:rFonts w:ascii="Times New Roman" w:hAnsi="Times New Roman" w:cs="Times New Roman"/>
        </w:rPr>
        <w:t>10.07 Exception when Original Missing or Collateral</w:t>
      </w:r>
    </w:p>
    <w:p w14:paraId="23B08405" w14:textId="77777777" w:rsidR="00EF1F3C" w:rsidRPr="00E34FCF" w:rsidRDefault="00EF1F3C" w:rsidP="003D0011">
      <w:pPr>
        <w:pStyle w:val="ListParagra"/>
        <w:widowControl/>
        <w:numPr>
          <w:ilvl w:val="12"/>
          <w:numId w:val="0"/>
        </w:numPr>
        <w:tabs>
          <w:tab w:val="left" w:pos="1008"/>
          <w:tab w:val="left" w:pos="1440"/>
          <w:tab w:val="left" w:pos="2160"/>
          <w:tab w:val="left" w:pos="2880"/>
          <w:tab w:val="left" w:pos="3600"/>
          <w:tab w:val="left" w:pos="4320"/>
          <w:tab w:val="left" w:pos="5040"/>
          <w:tab w:val="left" w:pos="5760"/>
          <w:tab w:val="left" w:pos="6480"/>
          <w:tab w:val="left" w:pos="6912"/>
        </w:tabs>
        <w:spacing w:after="0" w:line="240" w:lineRule="auto"/>
        <w:ind w:left="1008"/>
        <w:rPr>
          <w:rFonts w:ascii="Times New Roman" w:hAnsi="Times New Roman" w:cs="Times New Roman"/>
          <w:sz w:val="24"/>
          <w:szCs w:val="24"/>
        </w:rPr>
      </w:pPr>
    </w:p>
    <w:p w14:paraId="45C574C7" w14:textId="77777777" w:rsidR="00EF1F3C" w:rsidRPr="00E34FCF" w:rsidRDefault="00A75AB3" w:rsidP="003D0011">
      <w:pPr>
        <w:pStyle w:val="L1-1"/>
        <w:widowControl/>
        <w:numPr>
          <w:ilvl w:val="0"/>
          <w:numId w:val="1"/>
        </w:numPr>
        <w:tabs>
          <w:tab w:val="left" w:pos="1008"/>
          <w:tab w:val="left" w:pos="1440"/>
          <w:tab w:val="left" w:pos="2160"/>
          <w:tab w:val="left" w:pos="2880"/>
          <w:tab w:val="left" w:pos="3600"/>
          <w:tab w:val="left" w:pos="4320"/>
          <w:tab w:val="left" w:pos="5040"/>
          <w:tab w:val="left" w:pos="5760"/>
          <w:tab w:val="left" w:pos="6480"/>
          <w:tab w:val="left" w:pos="6912"/>
        </w:tabs>
        <w:ind w:left="1008" w:hanging="360"/>
        <w:rPr>
          <w:rFonts w:ascii="Times New Roman" w:hAnsi="Times New Roman" w:cs="Times New Roman"/>
        </w:rPr>
      </w:pPr>
      <w:r w:rsidRPr="00E34FCF">
        <w:rPr>
          <w:rFonts w:ascii="Times New Roman" w:hAnsi="Times New Roman" w:cs="Times New Roman"/>
        </w:rPr>
        <w:t>10.09 Exception for Admission of Contents</w:t>
      </w:r>
    </w:p>
    <w:p w14:paraId="431DE2A4" w14:textId="77777777" w:rsidR="00EF1F3C" w:rsidRPr="00E34FCF" w:rsidRDefault="00EF1F3C" w:rsidP="003D0011">
      <w:pPr>
        <w:pStyle w:val="ListParagra"/>
        <w:widowControl/>
        <w:numPr>
          <w:ilvl w:val="12"/>
          <w:numId w:val="0"/>
        </w:numPr>
        <w:tabs>
          <w:tab w:val="left" w:pos="1008"/>
          <w:tab w:val="left" w:pos="1440"/>
          <w:tab w:val="left" w:pos="2160"/>
          <w:tab w:val="left" w:pos="2880"/>
          <w:tab w:val="left" w:pos="3600"/>
          <w:tab w:val="left" w:pos="4320"/>
          <w:tab w:val="left" w:pos="5040"/>
          <w:tab w:val="left" w:pos="5760"/>
          <w:tab w:val="left" w:pos="6480"/>
          <w:tab w:val="left" w:pos="6912"/>
        </w:tabs>
        <w:spacing w:after="0" w:line="240" w:lineRule="auto"/>
        <w:ind w:left="1008"/>
        <w:rPr>
          <w:rFonts w:ascii="Times New Roman" w:hAnsi="Times New Roman" w:cs="Times New Roman"/>
          <w:sz w:val="24"/>
          <w:szCs w:val="24"/>
        </w:rPr>
      </w:pPr>
    </w:p>
    <w:p w14:paraId="6C8C7A14" w14:textId="77777777" w:rsidR="00EF1F3C" w:rsidRPr="00E34FCF" w:rsidRDefault="00A75AB3" w:rsidP="003D0011">
      <w:pPr>
        <w:pStyle w:val="L1-1"/>
        <w:widowControl/>
        <w:numPr>
          <w:ilvl w:val="0"/>
          <w:numId w:val="1"/>
        </w:numPr>
        <w:tabs>
          <w:tab w:val="left" w:pos="1008"/>
          <w:tab w:val="left" w:pos="1440"/>
          <w:tab w:val="left" w:pos="2160"/>
          <w:tab w:val="left" w:pos="2880"/>
          <w:tab w:val="left" w:pos="3600"/>
          <w:tab w:val="left" w:pos="4320"/>
          <w:tab w:val="left" w:pos="5040"/>
          <w:tab w:val="left" w:pos="5760"/>
          <w:tab w:val="left" w:pos="6480"/>
          <w:tab w:val="left" w:pos="6912"/>
        </w:tabs>
        <w:ind w:left="1008" w:hanging="360"/>
        <w:rPr>
          <w:rFonts w:ascii="Times New Roman" w:hAnsi="Times New Roman" w:cs="Times New Roman"/>
          <w:color w:val="3D3D3D"/>
        </w:rPr>
      </w:pPr>
      <w:r w:rsidRPr="00E34FCF">
        <w:rPr>
          <w:rFonts w:ascii="Times New Roman" w:hAnsi="Times New Roman" w:cs="Times New Roman"/>
          <w:color w:val="3D3D3D"/>
        </w:rPr>
        <w:t>10.11 Exception for Summary of Voluminous Material</w:t>
      </w:r>
    </w:p>
    <w:p w14:paraId="64343C90" w14:textId="77777777" w:rsidR="00EF1F3C" w:rsidRPr="00E34FCF" w:rsidRDefault="00EF1F3C" w:rsidP="003D0011">
      <w:pPr>
        <w:widowControl/>
        <w:numPr>
          <w:ilvl w:val="12"/>
          <w:numId w:val="0"/>
        </w:numPr>
        <w:tabs>
          <w:tab w:val="left" w:pos="0"/>
          <w:tab w:val="left" w:pos="432"/>
          <w:tab w:val="left" w:pos="1152"/>
          <w:tab w:val="left" w:pos="1872"/>
          <w:tab w:val="left" w:pos="2592"/>
          <w:tab w:val="left" w:pos="3312"/>
          <w:tab w:val="left" w:pos="4032"/>
          <w:tab w:val="left" w:pos="4752"/>
          <w:tab w:val="left" w:pos="5472"/>
          <w:tab w:val="left" w:pos="5904"/>
        </w:tabs>
        <w:jc w:val="both"/>
        <w:rPr>
          <w:color w:val="3D3D3D"/>
          <w:sz w:val="24"/>
          <w:szCs w:val="24"/>
        </w:rPr>
      </w:pPr>
    </w:p>
    <w:sectPr w:rsidR="00EF1F3C" w:rsidRPr="00E34FCF" w:rsidSect="00E34FCF">
      <w:headerReference w:type="default" r:id="rId8"/>
      <w:footerReference w:type="default" r:id="rId9"/>
      <w:type w:val="continuous"/>
      <w:pgSz w:w="12240" w:h="15840" w:code="1"/>
      <w:pgMar w:top="1440" w:right="2160" w:bottom="1440" w:left="216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C4EA6" w14:textId="77777777" w:rsidR="00EF1F3C" w:rsidRDefault="00A75AB3">
      <w:r>
        <w:separator/>
      </w:r>
    </w:p>
  </w:endnote>
  <w:endnote w:type="continuationSeparator" w:id="0">
    <w:p w14:paraId="5372190F" w14:textId="77777777" w:rsidR="00EF1F3C" w:rsidRDefault="00A75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9CE11" w14:textId="77777777" w:rsidR="00EF1F3C" w:rsidRDefault="00A75AB3">
    <w:pPr>
      <w:pStyle w:val="Footer"/>
      <w:widowControl/>
      <w:tabs>
        <w:tab w:val="clear" w:pos="4680"/>
        <w:tab w:val="clear" w:pos="7920"/>
        <w:tab w:val="center" w:pos="5544"/>
        <w:tab w:val="right" w:pos="8784"/>
      </w:tabs>
      <w:ind w:left="864" w:right="864"/>
      <w:jc w:val="center"/>
    </w:pPr>
    <w: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761B7" w14:textId="77777777" w:rsidR="00EF1F3C" w:rsidRDefault="00A75AB3">
    <w:pPr>
      <w:pStyle w:val="Footer"/>
      <w:widowControl/>
      <w:tabs>
        <w:tab w:val="clear" w:pos="4680"/>
        <w:tab w:val="clear" w:pos="7920"/>
        <w:tab w:val="center" w:pos="5544"/>
        <w:tab w:val="right" w:pos="8784"/>
      </w:tabs>
      <w:ind w:left="864" w:right="864"/>
      <w:jc w:val="center"/>
    </w:pPr>
    <w: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C9633" w14:textId="77777777" w:rsidR="00EF1F3C" w:rsidRDefault="00A75AB3">
      <w:r>
        <w:separator/>
      </w:r>
    </w:p>
  </w:footnote>
  <w:footnote w:type="continuationSeparator" w:id="0">
    <w:p w14:paraId="46DB11F2" w14:textId="77777777" w:rsidR="00EF1F3C" w:rsidRDefault="00A75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8B49A" w14:textId="77777777" w:rsidR="00EF1F3C" w:rsidRPr="00E34FCF" w:rsidRDefault="00EF1F3C" w:rsidP="00E34F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E365EFE"/>
    <w:lvl w:ilvl="0">
      <w:numFmt w:val="bullet"/>
      <w:lvlText w:val="*"/>
      <w:lvlJc w:val="left"/>
    </w:lvl>
  </w:abstractNum>
  <w:num w:numId="1">
    <w:abstractNumId w:val="0"/>
    <w:lvlOverride w:ilvl="0">
      <w:lvl w:ilvl="0">
        <w:start w:val="1"/>
        <w:numFmt w:val="bullet"/>
        <w:lvlText w:val=""/>
        <w:legacy w:legacy="1" w:legacySpace="0" w:legacyIndent="1"/>
        <w:lvlJc w:val="left"/>
        <w:pPr>
          <w:ind w:left="649" w:hanging="1"/>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defaultTabStop w:val="720"/>
  <w:hyphenationZone w:val="402"/>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noTabHangInd/>
    <w:spaceForUL/>
    <w:balanceSingleByteDoubleByteWidth/>
    <w:doNotLeaveBackslashAlone/>
    <w:ulTrailSpace/>
    <w:doNotExpandShiftReturn/>
    <w:subFontBySize/>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75AB3"/>
    <w:rsid w:val="00037C8B"/>
    <w:rsid w:val="000D7067"/>
    <w:rsid w:val="003717A4"/>
    <w:rsid w:val="00386FA3"/>
    <w:rsid w:val="003A6650"/>
    <w:rsid w:val="003D0011"/>
    <w:rsid w:val="008B2620"/>
    <w:rsid w:val="009210C3"/>
    <w:rsid w:val="00A75AB3"/>
    <w:rsid w:val="00E34FCF"/>
    <w:rsid w:val="00EF1F3C"/>
    <w:rsid w:val="00F95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29064A"/>
  <w14:defaultImageDpi w14:val="0"/>
  <w15:docId w15:val="{A168D3F1-A955-4BF0-92E5-3B36EF9B0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1">
    <w:name w:val="L1-1"/>
    <w:uiPriority w:val="99"/>
    <w:pPr>
      <w:widowControl w:val="0"/>
      <w:autoSpaceDE w:val="0"/>
      <w:autoSpaceDN w:val="0"/>
      <w:adjustRightInd w:val="0"/>
      <w:spacing w:after="0" w:line="240" w:lineRule="auto"/>
      <w:ind w:left="720" w:hanging="360"/>
      <w:jc w:val="both"/>
    </w:pPr>
    <w:rPr>
      <w:rFonts w:ascii="Calibri" w:hAnsi="Calibri" w:cs="Calibri"/>
      <w:sz w:val="24"/>
      <w:szCs w:val="24"/>
    </w:rPr>
  </w:style>
  <w:style w:type="paragraph" w:customStyle="1" w:styleId="L1-2">
    <w:name w:val="L1-2"/>
    <w:uiPriority w:val="99"/>
    <w:pPr>
      <w:widowControl w:val="0"/>
      <w:autoSpaceDE w:val="0"/>
      <w:autoSpaceDN w:val="0"/>
      <w:adjustRightInd w:val="0"/>
      <w:spacing w:after="0" w:line="240" w:lineRule="auto"/>
      <w:ind w:left="1440" w:hanging="360"/>
      <w:jc w:val="both"/>
    </w:pPr>
    <w:rPr>
      <w:rFonts w:ascii="Calibri" w:hAnsi="Calibri" w:cs="Calibri"/>
      <w:sz w:val="24"/>
      <w:szCs w:val="24"/>
    </w:rPr>
  </w:style>
  <w:style w:type="paragraph" w:customStyle="1" w:styleId="L1-3">
    <w:name w:val="L1-3"/>
    <w:uiPriority w:val="99"/>
    <w:pPr>
      <w:widowControl w:val="0"/>
      <w:autoSpaceDE w:val="0"/>
      <w:autoSpaceDN w:val="0"/>
      <w:adjustRightInd w:val="0"/>
      <w:spacing w:after="0" w:line="240" w:lineRule="auto"/>
      <w:ind w:left="2160" w:hanging="360"/>
      <w:jc w:val="both"/>
    </w:pPr>
    <w:rPr>
      <w:rFonts w:ascii="Calibri" w:hAnsi="Calibri" w:cs="Calibri"/>
      <w:sz w:val="24"/>
      <w:szCs w:val="24"/>
    </w:rPr>
  </w:style>
  <w:style w:type="paragraph" w:customStyle="1" w:styleId="L1-4">
    <w:name w:val="L1-4"/>
    <w:uiPriority w:val="99"/>
    <w:pPr>
      <w:widowControl w:val="0"/>
      <w:autoSpaceDE w:val="0"/>
      <w:autoSpaceDN w:val="0"/>
      <w:adjustRightInd w:val="0"/>
      <w:spacing w:after="0" w:line="240" w:lineRule="auto"/>
      <w:ind w:left="2880" w:hanging="360"/>
      <w:jc w:val="both"/>
    </w:pPr>
    <w:rPr>
      <w:rFonts w:ascii="Calibri" w:hAnsi="Calibri" w:cs="Calibri"/>
      <w:sz w:val="24"/>
      <w:szCs w:val="24"/>
    </w:rPr>
  </w:style>
  <w:style w:type="paragraph" w:customStyle="1" w:styleId="L1-5">
    <w:name w:val="L1-5"/>
    <w:uiPriority w:val="99"/>
    <w:pPr>
      <w:widowControl w:val="0"/>
      <w:autoSpaceDE w:val="0"/>
      <w:autoSpaceDN w:val="0"/>
      <w:adjustRightInd w:val="0"/>
      <w:spacing w:after="0" w:line="240" w:lineRule="auto"/>
      <w:ind w:left="3600" w:hanging="360"/>
      <w:jc w:val="both"/>
    </w:pPr>
    <w:rPr>
      <w:rFonts w:ascii="Calibri" w:hAnsi="Calibri" w:cs="Calibri"/>
      <w:sz w:val="24"/>
      <w:szCs w:val="24"/>
    </w:rPr>
  </w:style>
  <w:style w:type="paragraph" w:customStyle="1" w:styleId="L1-6">
    <w:name w:val="L1-6"/>
    <w:uiPriority w:val="99"/>
    <w:pPr>
      <w:widowControl w:val="0"/>
      <w:autoSpaceDE w:val="0"/>
      <w:autoSpaceDN w:val="0"/>
      <w:adjustRightInd w:val="0"/>
      <w:spacing w:after="0" w:line="240" w:lineRule="auto"/>
      <w:ind w:left="4320" w:hanging="360"/>
      <w:jc w:val="both"/>
    </w:pPr>
    <w:rPr>
      <w:rFonts w:ascii="Calibri" w:hAnsi="Calibri" w:cs="Calibri"/>
      <w:sz w:val="24"/>
      <w:szCs w:val="24"/>
    </w:rPr>
  </w:style>
  <w:style w:type="paragraph" w:customStyle="1" w:styleId="L1-7">
    <w:name w:val="L1-7"/>
    <w:uiPriority w:val="99"/>
    <w:pPr>
      <w:widowControl w:val="0"/>
      <w:autoSpaceDE w:val="0"/>
      <w:autoSpaceDN w:val="0"/>
      <w:adjustRightInd w:val="0"/>
      <w:spacing w:after="0" w:line="240" w:lineRule="auto"/>
      <w:ind w:left="5040" w:hanging="360"/>
      <w:jc w:val="both"/>
    </w:pPr>
    <w:rPr>
      <w:rFonts w:ascii="Calibri" w:hAnsi="Calibri" w:cs="Calibri"/>
      <w:sz w:val="24"/>
      <w:szCs w:val="24"/>
    </w:rPr>
  </w:style>
  <w:style w:type="paragraph" w:customStyle="1" w:styleId="L1-8">
    <w:name w:val="L1-8"/>
    <w:uiPriority w:val="99"/>
    <w:pPr>
      <w:widowControl w:val="0"/>
      <w:autoSpaceDE w:val="0"/>
      <w:autoSpaceDN w:val="0"/>
      <w:adjustRightInd w:val="0"/>
      <w:spacing w:after="0" w:line="240" w:lineRule="auto"/>
      <w:ind w:left="5760" w:hanging="360"/>
      <w:jc w:val="both"/>
    </w:pPr>
    <w:rPr>
      <w:rFonts w:ascii="Calibri" w:hAnsi="Calibri" w:cs="Calibri"/>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rFonts w:ascii="Times New Roman" w:hAnsi="Times New Roman" w:cs="Times New Roman"/>
      <w:b/>
      <w:bCs/>
      <w:sz w:val="24"/>
      <w:szCs w:val="24"/>
    </w:rPr>
  </w:style>
  <w:style w:type="paragraph" w:styleId="Footer">
    <w:name w:val="footer"/>
    <w:basedOn w:val="Normal"/>
    <w:link w:val="FooterChar"/>
    <w:uiPriority w:val="99"/>
    <w:pPr>
      <w:tabs>
        <w:tab w:val="center" w:pos="4680"/>
        <w:tab w:val="right" w:pos="7920"/>
      </w:tabs>
      <w:jc w:val="both"/>
    </w:pPr>
    <w:rPr>
      <w:rFonts w:ascii="Calibri" w:hAnsi="Calibri" w:cs="Calibri"/>
      <w:sz w:val="22"/>
      <w:szCs w:val="22"/>
    </w:rPr>
  </w:style>
  <w:style w:type="character" w:customStyle="1" w:styleId="FooterChar">
    <w:name w:val="Footer Char"/>
    <w:basedOn w:val="DefaultParagraphFont"/>
    <w:link w:val="Footer"/>
    <w:uiPriority w:val="99"/>
    <w:semiHidden/>
    <w:rPr>
      <w:rFonts w:ascii="Times New Roman" w:hAnsi="Times New Roman" w:cs="Times New Roman"/>
      <w:sz w:val="20"/>
      <w:szCs w:val="20"/>
    </w:rPr>
  </w:style>
  <w:style w:type="paragraph" w:customStyle="1" w:styleId="ListParagra">
    <w:name w:val="List Paragra"/>
    <w:uiPriority w:val="99"/>
    <w:pPr>
      <w:widowControl w:val="0"/>
      <w:autoSpaceDE w:val="0"/>
      <w:autoSpaceDN w:val="0"/>
      <w:adjustRightInd w:val="0"/>
      <w:spacing w:after="159" w:line="256" w:lineRule="auto"/>
      <w:ind w:left="720"/>
      <w:jc w:val="both"/>
    </w:pPr>
    <w:rPr>
      <w:rFonts w:ascii="Calibri" w:hAnsi="Calibri" w:cs="Calibri"/>
    </w:rPr>
  </w:style>
  <w:style w:type="paragraph" w:styleId="NoSpacing">
    <w:name w:val="No Spacing"/>
    <w:uiPriority w:val="99"/>
    <w:qFormat/>
    <w:pPr>
      <w:widowControl w:val="0"/>
      <w:autoSpaceDE w:val="0"/>
      <w:autoSpaceDN w:val="0"/>
      <w:adjustRightInd w:val="0"/>
      <w:spacing w:after="0" w:line="240" w:lineRule="auto"/>
      <w:jc w:val="both"/>
    </w:pPr>
    <w:rPr>
      <w:rFonts w:ascii="Calibri" w:hAnsi="Calibri" w:cs="Calibri"/>
    </w:rPr>
  </w:style>
  <w:style w:type="paragraph" w:customStyle="1" w:styleId="L1-9">
    <w:name w:val="L1-9"/>
    <w:uiPriority w:val="99"/>
    <w:pPr>
      <w:widowControl w:val="0"/>
      <w:autoSpaceDE w:val="0"/>
      <w:autoSpaceDN w:val="0"/>
      <w:adjustRightInd w:val="0"/>
      <w:spacing w:after="0" w:line="240" w:lineRule="auto"/>
      <w:ind w:left="6480" w:hanging="360"/>
      <w:jc w:val="both"/>
    </w:pPr>
    <w:rPr>
      <w:rFonts w:ascii="Calibri" w:hAnsi="Calibri" w:cs="Calibri"/>
      <w:sz w:val="24"/>
      <w:szCs w:val="24"/>
    </w:rPr>
  </w:style>
  <w:style w:type="paragraph" w:styleId="Header">
    <w:name w:val="header"/>
    <w:basedOn w:val="Normal"/>
    <w:link w:val="HeaderChar"/>
    <w:uiPriority w:val="99"/>
    <w:unhideWhenUsed/>
    <w:rsid w:val="00E34FCF"/>
    <w:pPr>
      <w:tabs>
        <w:tab w:val="center" w:pos="4680"/>
        <w:tab w:val="right" w:pos="9360"/>
      </w:tabs>
    </w:pPr>
  </w:style>
  <w:style w:type="character" w:customStyle="1" w:styleId="HeaderChar">
    <w:name w:val="Header Char"/>
    <w:basedOn w:val="DefaultParagraphFont"/>
    <w:link w:val="Header"/>
    <w:uiPriority w:val="99"/>
    <w:rsid w:val="00E34FCF"/>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Whiteman</dc:creator>
  <cp:keywords/>
  <dc:description/>
  <cp:lastModifiedBy>Bill Donnino</cp:lastModifiedBy>
  <cp:revision>12</cp:revision>
  <dcterms:created xsi:type="dcterms:W3CDTF">2019-12-13T19:03:00Z</dcterms:created>
  <dcterms:modified xsi:type="dcterms:W3CDTF">2019-12-17T19:24:00Z</dcterms:modified>
</cp:coreProperties>
</file>