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026" w:rsidRPr="007A3F83" w:rsidRDefault="00BB07BA" w:rsidP="007A3F83">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8"/>
          <w:szCs w:val="28"/>
        </w:rPr>
      </w:pPr>
      <w:r w:rsidRPr="007A3F83">
        <w:rPr>
          <w:sz w:val="28"/>
          <w:szCs w:val="28"/>
          <w:lang w:val="en-CA"/>
        </w:rPr>
        <w:fldChar w:fldCharType="begin"/>
      </w:r>
      <w:r w:rsidRPr="007A3F83">
        <w:rPr>
          <w:sz w:val="28"/>
          <w:szCs w:val="28"/>
          <w:lang w:val="en-CA"/>
        </w:rPr>
        <w:instrText xml:space="preserve"> SEQ CHAPTER \h \r 1</w:instrText>
      </w:r>
      <w:r w:rsidRPr="007A3F83">
        <w:rPr>
          <w:sz w:val="28"/>
          <w:szCs w:val="28"/>
          <w:lang w:val="en-CA"/>
        </w:rPr>
        <w:fldChar w:fldCharType="end"/>
      </w:r>
      <w:r w:rsidRPr="007A3F83">
        <w:rPr>
          <w:rFonts w:ascii="Times New Roman" w:hAnsi="Times New Roman" w:cs="Times New Roman"/>
          <w:b/>
          <w:bCs/>
          <w:sz w:val="28"/>
          <w:szCs w:val="28"/>
        </w:rPr>
        <w:t>10.11</w:t>
      </w:r>
      <w:r w:rsidR="007A3F83" w:rsidRPr="007A3F83">
        <w:rPr>
          <w:rFonts w:ascii="Times New Roman" w:hAnsi="Times New Roman" w:cs="Times New Roman"/>
          <w:b/>
          <w:bCs/>
          <w:sz w:val="28"/>
          <w:szCs w:val="28"/>
        </w:rPr>
        <w:t>.</w:t>
      </w:r>
      <w:r w:rsidRPr="007A3F83">
        <w:rPr>
          <w:rFonts w:ascii="Times New Roman" w:hAnsi="Times New Roman" w:cs="Times New Roman"/>
          <w:b/>
          <w:bCs/>
          <w:sz w:val="28"/>
          <w:szCs w:val="28"/>
        </w:rPr>
        <w:t xml:space="preserve"> Exception for Summary of Voluminous Material</w:t>
      </w:r>
    </w:p>
    <w:p w:rsidR="00CF5026" w:rsidRPr="007A3F83" w:rsidRDefault="00CF5026" w:rsidP="007A3F83">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8"/>
          <w:szCs w:val="28"/>
        </w:rPr>
      </w:pPr>
    </w:p>
    <w:p w:rsidR="00CF5026" w:rsidRPr="007A3F83" w:rsidRDefault="00BB07BA" w:rsidP="007A3F83">
      <w:pPr>
        <w:widowControl/>
        <w:tabs>
          <w:tab w:val="left" w:pos="720"/>
          <w:tab w:val="left" w:pos="1440"/>
          <w:tab w:val="left" w:pos="2160"/>
          <w:tab w:val="left" w:pos="2880"/>
          <w:tab w:val="left" w:pos="3600"/>
          <w:tab w:val="left" w:pos="4320"/>
          <w:tab w:val="left" w:pos="5040"/>
          <w:tab w:val="left" w:pos="5760"/>
          <w:tab w:val="left" w:pos="6480"/>
          <w:tab w:val="left" w:pos="7200"/>
        </w:tabs>
        <w:ind w:left="720" w:right="720"/>
        <w:jc w:val="both"/>
        <w:rPr>
          <w:b/>
          <w:bCs/>
          <w:sz w:val="28"/>
          <w:szCs w:val="28"/>
        </w:rPr>
      </w:pPr>
      <w:r w:rsidRPr="007A3F83">
        <w:rPr>
          <w:b/>
          <w:bCs/>
          <w:sz w:val="28"/>
          <w:szCs w:val="28"/>
        </w:rPr>
        <w:t xml:space="preserve">The content of voluminous writings, recordings, or photographs may be proved </w:t>
      </w:r>
      <w:proofErr w:type="gramStart"/>
      <w:r w:rsidRPr="007A3F83">
        <w:rPr>
          <w:b/>
          <w:bCs/>
          <w:sz w:val="28"/>
          <w:szCs w:val="28"/>
        </w:rPr>
        <w:t>by the use of</w:t>
      </w:r>
      <w:proofErr w:type="gramEnd"/>
      <w:r w:rsidRPr="007A3F83">
        <w:rPr>
          <w:b/>
          <w:bCs/>
          <w:sz w:val="28"/>
          <w:szCs w:val="28"/>
        </w:rPr>
        <w:t xml:space="preserve"> a summary, chart, or calculation of the contents, provided the writings, recordings, or photographs are accurate, otherwise admissible, and cannot be conveniently examined in court. The party offering such evidence must make the originals available for examination, copying, or both, by other parties at a reasonable time and place. The party against whom the item is being offered must be given an opportunity to challenge its admission. And, the court may order the offering party to produce the underlying originals in court.</w:t>
      </w:r>
    </w:p>
    <w:p w:rsidR="00CF5026" w:rsidRPr="007A3F83" w:rsidRDefault="00CF5026" w:rsidP="007A3F83">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b/>
          <w:bCs/>
          <w:sz w:val="28"/>
          <w:szCs w:val="28"/>
        </w:rPr>
      </w:pPr>
    </w:p>
    <w:p w:rsidR="00CF5026" w:rsidRPr="007A3F83" w:rsidRDefault="00BB07BA" w:rsidP="007A3F83">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jc w:val="center"/>
        <w:rPr>
          <w:rFonts w:ascii="Times New Roman" w:hAnsi="Times New Roman" w:cs="Times New Roman"/>
          <w:b/>
          <w:bCs/>
          <w:sz w:val="24"/>
          <w:szCs w:val="24"/>
        </w:rPr>
      </w:pPr>
      <w:r w:rsidRPr="007A3F83">
        <w:rPr>
          <w:rFonts w:ascii="Times New Roman" w:hAnsi="Times New Roman" w:cs="Times New Roman"/>
          <w:b/>
          <w:bCs/>
          <w:sz w:val="24"/>
          <w:szCs w:val="24"/>
        </w:rPr>
        <w:t>Note</w:t>
      </w:r>
    </w:p>
    <w:p w:rsidR="00CF5026" w:rsidRPr="007A3F83" w:rsidRDefault="00CF5026" w:rsidP="007A3F83">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b/>
          <w:bCs/>
          <w:sz w:val="24"/>
          <w:szCs w:val="24"/>
        </w:rPr>
      </w:pPr>
    </w:p>
    <w:p w:rsidR="00CF5026" w:rsidRPr="007A3F83" w:rsidRDefault="00BB07BA" w:rsidP="007A3F83">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sidRPr="007A3F83">
        <w:rPr>
          <w:rFonts w:ascii="Times New Roman" w:hAnsi="Times New Roman" w:cs="Times New Roman"/>
          <w:sz w:val="24"/>
          <w:szCs w:val="24"/>
        </w:rPr>
        <w:tab/>
        <w:t xml:space="preserve">This rule restates New York’s “voluminous writings” exception to the best evidence rule by permitting the contents of </w:t>
      </w:r>
      <w:proofErr w:type="gramStart"/>
      <w:r w:rsidRPr="007A3F83">
        <w:rPr>
          <w:rFonts w:ascii="Times New Roman" w:hAnsi="Times New Roman" w:cs="Times New Roman"/>
          <w:sz w:val="24"/>
          <w:szCs w:val="24"/>
        </w:rPr>
        <w:t>a large number of</w:t>
      </w:r>
      <w:proofErr w:type="gramEnd"/>
      <w:r w:rsidRPr="007A3F83">
        <w:rPr>
          <w:rFonts w:ascii="Times New Roman" w:hAnsi="Times New Roman" w:cs="Times New Roman"/>
          <w:sz w:val="24"/>
          <w:szCs w:val="24"/>
        </w:rPr>
        <w:t xml:space="preserve"> writings, recordings, or photographs to be admitted in the form of a chart, summary, or calculation of their contents (</w:t>
      </w:r>
      <w:r w:rsidRPr="007A3F83">
        <w:rPr>
          <w:rFonts w:ascii="Times New Roman" w:hAnsi="Times New Roman" w:cs="Times New Roman"/>
          <w:i/>
          <w:iCs/>
          <w:sz w:val="24"/>
          <w:szCs w:val="24"/>
        </w:rPr>
        <w:t xml:space="preserve">e.g. Ed </w:t>
      </w:r>
      <w:proofErr w:type="spellStart"/>
      <w:r w:rsidRPr="007A3F83">
        <w:rPr>
          <w:rFonts w:ascii="Times New Roman" w:hAnsi="Times New Roman" w:cs="Times New Roman"/>
          <w:i/>
          <w:iCs/>
          <w:sz w:val="24"/>
          <w:szCs w:val="24"/>
        </w:rPr>
        <w:t>Guth</w:t>
      </w:r>
      <w:proofErr w:type="spellEnd"/>
      <w:r w:rsidRPr="007A3F83">
        <w:rPr>
          <w:rFonts w:ascii="Times New Roman" w:hAnsi="Times New Roman" w:cs="Times New Roman"/>
          <w:i/>
          <w:iCs/>
          <w:sz w:val="24"/>
          <w:szCs w:val="24"/>
        </w:rPr>
        <w:t xml:space="preserve"> Realty v </w:t>
      </w:r>
      <w:proofErr w:type="spellStart"/>
      <w:r w:rsidRPr="007A3F83">
        <w:rPr>
          <w:rFonts w:ascii="Times New Roman" w:hAnsi="Times New Roman" w:cs="Times New Roman"/>
          <w:i/>
          <w:iCs/>
          <w:sz w:val="24"/>
          <w:szCs w:val="24"/>
        </w:rPr>
        <w:t>Gingold</w:t>
      </w:r>
      <w:proofErr w:type="spellEnd"/>
      <w:r w:rsidRPr="007A3F83">
        <w:rPr>
          <w:rFonts w:ascii="Times New Roman" w:hAnsi="Times New Roman" w:cs="Times New Roman"/>
          <w:sz w:val="24"/>
          <w:szCs w:val="24"/>
        </w:rPr>
        <w:t xml:space="preserve">, 34 NY2d 440, 451-452 [1974]; </w:t>
      </w:r>
      <w:r w:rsidRPr="007A3F83">
        <w:rPr>
          <w:rFonts w:ascii="Times New Roman" w:hAnsi="Times New Roman" w:cs="Times New Roman"/>
          <w:i/>
          <w:iCs/>
          <w:sz w:val="24"/>
          <w:szCs w:val="24"/>
        </w:rPr>
        <w:t xml:space="preserve">Von Sachs v </w:t>
      </w:r>
      <w:proofErr w:type="spellStart"/>
      <w:r w:rsidRPr="007A3F83">
        <w:rPr>
          <w:rFonts w:ascii="Times New Roman" w:hAnsi="Times New Roman" w:cs="Times New Roman"/>
          <w:i/>
          <w:iCs/>
          <w:sz w:val="24"/>
          <w:szCs w:val="24"/>
        </w:rPr>
        <w:t>Kretz</w:t>
      </w:r>
      <w:proofErr w:type="spellEnd"/>
      <w:r w:rsidRPr="007A3F83">
        <w:rPr>
          <w:rFonts w:ascii="Times New Roman" w:hAnsi="Times New Roman" w:cs="Times New Roman"/>
          <w:sz w:val="24"/>
          <w:szCs w:val="24"/>
        </w:rPr>
        <w:t xml:space="preserve">, 72 NY 548, 552 [1878]). As stated by the First Department in </w:t>
      </w:r>
      <w:r w:rsidRPr="007A3F83">
        <w:rPr>
          <w:rFonts w:ascii="Times New Roman" w:hAnsi="Times New Roman" w:cs="Times New Roman"/>
          <w:i/>
          <w:iCs/>
          <w:sz w:val="24"/>
          <w:szCs w:val="24"/>
        </w:rPr>
        <w:t xml:space="preserve">Public Operating Corp. v </w:t>
      </w:r>
      <w:proofErr w:type="spellStart"/>
      <w:r w:rsidRPr="007A3F83">
        <w:rPr>
          <w:rFonts w:ascii="Times New Roman" w:hAnsi="Times New Roman" w:cs="Times New Roman"/>
          <w:i/>
          <w:iCs/>
          <w:sz w:val="24"/>
          <w:szCs w:val="24"/>
        </w:rPr>
        <w:t>Weingart</w:t>
      </w:r>
      <w:proofErr w:type="spellEnd"/>
      <w:r w:rsidRPr="007A3F83">
        <w:rPr>
          <w:rFonts w:ascii="Times New Roman" w:hAnsi="Times New Roman" w:cs="Times New Roman"/>
          <w:sz w:val="24"/>
          <w:szCs w:val="24"/>
        </w:rPr>
        <w:t xml:space="preserve"> (257 App </w:t>
      </w:r>
      <w:proofErr w:type="spellStart"/>
      <w:r w:rsidRPr="007A3F83">
        <w:rPr>
          <w:rFonts w:ascii="Times New Roman" w:hAnsi="Times New Roman" w:cs="Times New Roman"/>
          <w:sz w:val="24"/>
          <w:szCs w:val="24"/>
        </w:rPr>
        <w:t>Div</w:t>
      </w:r>
      <w:proofErr w:type="spellEnd"/>
      <w:r w:rsidRPr="007A3F83">
        <w:rPr>
          <w:rFonts w:ascii="Times New Roman" w:hAnsi="Times New Roman" w:cs="Times New Roman"/>
          <w:sz w:val="24"/>
          <w:szCs w:val="24"/>
        </w:rPr>
        <w:t xml:space="preserve"> 379, 382 [1st Dept 1939]):</w:t>
      </w:r>
    </w:p>
    <w:p w:rsidR="00CF5026" w:rsidRPr="007A3F83" w:rsidRDefault="00CF5026" w:rsidP="007A3F83">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4"/>
          <w:szCs w:val="24"/>
        </w:rPr>
      </w:pPr>
    </w:p>
    <w:p w:rsidR="00CF5026" w:rsidRPr="007A3F83" w:rsidRDefault="00BB07BA" w:rsidP="007A3F83">
      <w:pPr>
        <w:pStyle w:val="NoSpacing"/>
        <w:widowControl/>
        <w:tabs>
          <w:tab w:val="left" w:pos="1440"/>
          <w:tab w:val="left" w:pos="2160"/>
          <w:tab w:val="left" w:pos="2880"/>
          <w:tab w:val="left" w:pos="3600"/>
          <w:tab w:val="left" w:pos="4320"/>
          <w:tab w:val="left" w:pos="5040"/>
          <w:tab w:val="left" w:pos="5760"/>
          <w:tab w:val="left" w:pos="6480"/>
          <w:tab w:val="left" w:pos="7198"/>
        </w:tabs>
        <w:ind w:left="720" w:right="720"/>
        <w:rPr>
          <w:rFonts w:ascii="Times New Roman" w:hAnsi="Times New Roman" w:cs="Times New Roman"/>
          <w:sz w:val="24"/>
          <w:szCs w:val="24"/>
        </w:rPr>
      </w:pPr>
      <w:r w:rsidRPr="007A3F83">
        <w:rPr>
          <w:rFonts w:ascii="Times New Roman" w:hAnsi="Times New Roman" w:cs="Times New Roman"/>
          <w:sz w:val="24"/>
          <w:szCs w:val="24"/>
        </w:rPr>
        <w:t>“</w:t>
      </w:r>
      <w:r w:rsidRPr="007A3F83">
        <w:rPr>
          <w:rFonts w:ascii="Times New Roman" w:hAnsi="Times New Roman" w:cs="Times New Roman"/>
          <w:color w:val="3D3D3D"/>
          <w:sz w:val="24"/>
          <w:szCs w:val="24"/>
        </w:rPr>
        <w:t>When documents introduced in evidence at a trial are voluminous and of such a character as to render it difficult for the jury to comprehend material facts without schedules containing abstracts thereof, it is within the discretion of the judge to admit such schedules provided they are based on facts in evidence, verified by the testimony of the person by whom they were prepared, and provided that the adverse party is permitted to examine them to test their correctness and to cross-examine upon them before the case is submitted to the jury.”</w:t>
      </w:r>
    </w:p>
    <w:p w:rsidR="00CF5026" w:rsidRPr="007A3F83" w:rsidRDefault="00CF5026" w:rsidP="007A3F83">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4"/>
          <w:szCs w:val="24"/>
        </w:rPr>
      </w:pPr>
    </w:p>
    <w:p w:rsidR="00CF5026" w:rsidRPr="007A3F83" w:rsidRDefault="007A3F83" w:rsidP="007A3F83">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4"/>
          <w:szCs w:val="24"/>
        </w:rPr>
      </w:pPr>
      <w:r>
        <w:rPr>
          <w:rFonts w:ascii="Times New Roman" w:hAnsi="Times New Roman" w:cs="Times New Roman"/>
          <w:color w:val="3D3D3D"/>
          <w:sz w:val="24"/>
          <w:szCs w:val="24"/>
        </w:rPr>
        <w:tab/>
      </w:r>
      <w:r w:rsidR="00BB07BA" w:rsidRPr="007A3F83">
        <w:rPr>
          <w:rFonts w:ascii="Times New Roman" w:hAnsi="Times New Roman" w:cs="Times New Roman"/>
          <w:color w:val="3D3D3D"/>
          <w:sz w:val="24"/>
          <w:szCs w:val="24"/>
        </w:rPr>
        <w:t>The rule has four require</w:t>
      </w:r>
      <w:r>
        <w:rPr>
          <w:rFonts w:ascii="Times New Roman" w:hAnsi="Times New Roman" w:cs="Times New Roman"/>
          <w:color w:val="3D3D3D"/>
          <w:sz w:val="24"/>
          <w:szCs w:val="24"/>
        </w:rPr>
        <w:t>ments before it can be invoked:</w:t>
      </w:r>
    </w:p>
    <w:p w:rsidR="00CF5026" w:rsidRPr="007A3F83" w:rsidRDefault="00CF5026" w:rsidP="007A3F83">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4"/>
          <w:szCs w:val="24"/>
        </w:rPr>
      </w:pPr>
    </w:p>
    <w:p w:rsidR="00CF5026" w:rsidRPr="007A3F83" w:rsidRDefault="007A3F83" w:rsidP="007A3F83">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color w:val="3D3D3D"/>
          <w:sz w:val="24"/>
          <w:szCs w:val="24"/>
        </w:rPr>
        <w:tab/>
      </w:r>
      <w:r w:rsidR="00BB07BA" w:rsidRPr="007A3F83">
        <w:rPr>
          <w:rFonts w:ascii="Times New Roman" w:hAnsi="Times New Roman" w:cs="Times New Roman"/>
          <w:color w:val="3D3D3D"/>
          <w:sz w:val="24"/>
          <w:szCs w:val="24"/>
        </w:rPr>
        <w:t>First, the original writings, recordings, or photographs must be too voluminous for convenient examination in court, a determination committed to the sound discretion of the court (</w:t>
      </w:r>
      <w:r w:rsidR="00BB07BA" w:rsidRPr="007A3F83">
        <w:rPr>
          <w:rFonts w:ascii="Times New Roman" w:hAnsi="Times New Roman" w:cs="Times New Roman"/>
          <w:i/>
          <w:iCs/>
          <w:color w:val="3D3D3D"/>
          <w:sz w:val="24"/>
          <w:szCs w:val="24"/>
        </w:rPr>
        <w:t>see Von Sachs</w:t>
      </w:r>
      <w:r w:rsidR="00BB07BA" w:rsidRPr="007A3F83">
        <w:rPr>
          <w:rFonts w:ascii="Times New Roman" w:hAnsi="Times New Roman" w:cs="Times New Roman"/>
          <w:color w:val="3D3D3D"/>
          <w:sz w:val="24"/>
          <w:szCs w:val="24"/>
        </w:rPr>
        <w:t xml:space="preserve">, 72 NY at 552 [“It would not have been error for the referee to have allowed a witness, with the books before him, to give a summary of their contents; but this was a question of convenience simply, and a matter within his discretion”]; </w:t>
      </w:r>
      <w:r w:rsidR="00BB07BA" w:rsidRPr="007A3F83">
        <w:rPr>
          <w:rFonts w:ascii="Times New Roman" w:hAnsi="Times New Roman" w:cs="Times New Roman"/>
          <w:i/>
          <w:iCs/>
          <w:color w:val="3D3D3D"/>
          <w:sz w:val="24"/>
          <w:szCs w:val="24"/>
        </w:rPr>
        <w:t>People v Potter</w:t>
      </w:r>
      <w:r w:rsidR="00BB07BA" w:rsidRPr="007A3F83">
        <w:rPr>
          <w:rFonts w:ascii="Times New Roman" w:hAnsi="Times New Roman" w:cs="Times New Roman"/>
          <w:color w:val="3D3D3D"/>
          <w:sz w:val="24"/>
          <w:szCs w:val="24"/>
        </w:rPr>
        <w:t xml:space="preserve">, 255 AD2d 763, 767 </w:t>
      </w:r>
      <w:r w:rsidR="00BB07BA" w:rsidRPr="007A3F83">
        <w:rPr>
          <w:rFonts w:ascii="Times New Roman" w:hAnsi="Times New Roman" w:cs="Times New Roman"/>
          <w:color w:val="3D3D3D"/>
          <w:sz w:val="24"/>
          <w:szCs w:val="24"/>
        </w:rPr>
        <w:lastRenderedPageBreak/>
        <w:t xml:space="preserve">[3d Dept 1998]; </w:t>
      </w:r>
      <w:r w:rsidR="00BB07BA" w:rsidRPr="007A3F83">
        <w:rPr>
          <w:rFonts w:ascii="Times New Roman" w:hAnsi="Times New Roman" w:cs="Times New Roman"/>
          <w:i/>
          <w:iCs/>
          <w:color w:val="3D3D3D"/>
          <w:sz w:val="24"/>
          <w:szCs w:val="24"/>
        </w:rPr>
        <w:t>People v Weinberg</w:t>
      </w:r>
      <w:r w:rsidR="00BB07BA" w:rsidRPr="007A3F83">
        <w:rPr>
          <w:rFonts w:ascii="Times New Roman" w:hAnsi="Times New Roman" w:cs="Times New Roman"/>
          <w:color w:val="3D3D3D"/>
          <w:sz w:val="24"/>
          <w:szCs w:val="24"/>
        </w:rPr>
        <w:t>, 183 AD2d 932, 934 [2d Dept 1992]). In exercising that discretion, the court can consider the number of originals involved and their complexity (</w:t>
      </w:r>
      <w:r w:rsidR="00BB07BA" w:rsidRPr="007A3F83">
        <w:rPr>
          <w:rFonts w:ascii="Times New Roman" w:hAnsi="Times New Roman" w:cs="Times New Roman"/>
          <w:i/>
          <w:iCs/>
          <w:color w:val="3D3D3D"/>
          <w:sz w:val="24"/>
          <w:szCs w:val="24"/>
        </w:rPr>
        <w:t xml:space="preserve">Herbert H. Post &amp; Co. v Sidney </w:t>
      </w:r>
      <w:proofErr w:type="spellStart"/>
      <w:r w:rsidR="00BB07BA" w:rsidRPr="007A3F83">
        <w:rPr>
          <w:rFonts w:ascii="Times New Roman" w:hAnsi="Times New Roman" w:cs="Times New Roman"/>
          <w:i/>
          <w:iCs/>
          <w:color w:val="3D3D3D"/>
          <w:sz w:val="24"/>
          <w:szCs w:val="24"/>
        </w:rPr>
        <w:t>Bitterman</w:t>
      </w:r>
      <w:proofErr w:type="spellEnd"/>
      <w:r w:rsidR="00BB07BA" w:rsidRPr="007A3F83">
        <w:rPr>
          <w:rFonts w:ascii="Times New Roman" w:hAnsi="Times New Roman" w:cs="Times New Roman"/>
          <w:i/>
          <w:iCs/>
          <w:color w:val="3D3D3D"/>
          <w:sz w:val="24"/>
          <w:szCs w:val="24"/>
        </w:rPr>
        <w:t>, Inc.</w:t>
      </w:r>
      <w:r w:rsidR="00BB07BA" w:rsidRPr="007A3F83">
        <w:rPr>
          <w:rFonts w:ascii="Times New Roman" w:hAnsi="Times New Roman" w:cs="Times New Roman"/>
          <w:color w:val="3D3D3D"/>
          <w:sz w:val="24"/>
          <w:szCs w:val="24"/>
        </w:rPr>
        <w:t xml:space="preserve">, 219 AD2d 214, 228 [1st Dept 1996]; </w:t>
      </w:r>
      <w:r w:rsidR="00BB07BA" w:rsidRPr="007A3F83">
        <w:rPr>
          <w:rFonts w:ascii="Times New Roman" w:hAnsi="Times New Roman" w:cs="Times New Roman"/>
          <w:i/>
          <w:iCs/>
          <w:color w:val="3D3D3D"/>
          <w:sz w:val="24"/>
          <w:szCs w:val="24"/>
        </w:rPr>
        <w:t xml:space="preserve">see </w:t>
      </w:r>
      <w:proofErr w:type="spellStart"/>
      <w:r w:rsidR="00BB07BA" w:rsidRPr="007A3F83">
        <w:rPr>
          <w:rFonts w:ascii="Times New Roman" w:hAnsi="Times New Roman" w:cs="Times New Roman"/>
          <w:i/>
          <w:iCs/>
          <w:color w:val="3D3D3D"/>
          <w:sz w:val="24"/>
          <w:szCs w:val="24"/>
        </w:rPr>
        <w:t>Fagiola</w:t>
      </w:r>
      <w:proofErr w:type="spellEnd"/>
      <w:r w:rsidR="00BB07BA" w:rsidRPr="007A3F83">
        <w:rPr>
          <w:rFonts w:ascii="Times New Roman" w:hAnsi="Times New Roman" w:cs="Times New Roman"/>
          <w:i/>
          <w:iCs/>
          <w:color w:val="3D3D3D"/>
          <w:sz w:val="24"/>
          <w:szCs w:val="24"/>
        </w:rPr>
        <w:t xml:space="preserve"> v National Gypsum Co. AC &amp; S., Inc.</w:t>
      </w:r>
      <w:r w:rsidR="00BB07BA" w:rsidRPr="007A3F83">
        <w:rPr>
          <w:rFonts w:ascii="Times New Roman" w:hAnsi="Times New Roman" w:cs="Times New Roman"/>
          <w:color w:val="3D3D3D"/>
          <w:sz w:val="24"/>
          <w:szCs w:val="24"/>
        </w:rPr>
        <w:t>, 90</w:t>
      </w:r>
      <w:r w:rsidR="00BF5255">
        <w:rPr>
          <w:rFonts w:ascii="Times New Roman" w:hAnsi="Times New Roman" w:cs="Times New Roman"/>
          <w:color w:val="3D3D3D"/>
          <w:sz w:val="24"/>
          <w:szCs w:val="24"/>
        </w:rPr>
        <w:t>6 F2d 53, 57-59 [2d Cir 1990]).</w:t>
      </w:r>
    </w:p>
    <w:p w:rsidR="00CF5026" w:rsidRPr="007A3F83" w:rsidRDefault="00CF5026" w:rsidP="00BF5255">
      <w:pPr>
        <w:pStyle w:val="NoSpacing"/>
        <w:widowControl/>
        <w:tabs>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4"/>
          <w:szCs w:val="24"/>
        </w:rPr>
      </w:pPr>
    </w:p>
    <w:p w:rsidR="00CF5026" w:rsidRPr="007A3F83" w:rsidRDefault="00BF5255" w:rsidP="00BF5255">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color w:val="3D3D3D"/>
          <w:sz w:val="24"/>
          <w:szCs w:val="24"/>
        </w:rPr>
        <w:tab/>
      </w:r>
      <w:r w:rsidR="00BB07BA" w:rsidRPr="007A3F83">
        <w:rPr>
          <w:rFonts w:ascii="Times New Roman" w:hAnsi="Times New Roman" w:cs="Times New Roman"/>
          <w:color w:val="3D3D3D"/>
          <w:sz w:val="24"/>
          <w:szCs w:val="24"/>
        </w:rPr>
        <w:t>Second, the rule requires that the originals on which the chart, summary, or calculation is based be admissible (</w:t>
      </w:r>
      <w:r w:rsidR="00BB07BA" w:rsidRPr="007A3F83">
        <w:rPr>
          <w:rFonts w:ascii="Times New Roman" w:hAnsi="Times New Roman" w:cs="Times New Roman"/>
          <w:i/>
          <w:iCs/>
          <w:color w:val="3D3D3D"/>
          <w:sz w:val="24"/>
          <w:szCs w:val="24"/>
        </w:rPr>
        <w:t xml:space="preserve">Matter of </w:t>
      </w:r>
      <w:proofErr w:type="spellStart"/>
      <w:r w:rsidR="00BB07BA" w:rsidRPr="007A3F83">
        <w:rPr>
          <w:rFonts w:ascii="Times New Roman" w:hAnsi="Times New Roman" w:cs="Times New Roman"/>
          <w:i/>
          <w:iCs/>
          <w:color w:val="3D3D3D"/>
          <w:sz w:val="24"/>
          <w:szCs w:val="24"/>
        </w:rPr>
        <w:t>Thomma</w:t>
      </w:r>
      <w:proofErr w:type="spellEnd"/>
      <w:r w:rsidR="00BB07BA" w:rsidRPr="007A3F83">
        <w:rPr>
          <w:rFonts w:ascii="Times New Roman" w:hAnsi="Times New Roman" w:cs="Times New Roman"/>
          <w:color w:val="3D3D3D"/>
          <w:sz w:val="24"/>
          <w:szCs w:val="24"/>
        </w:rPr>
        <w:t xml:space="preserve">, 232 AD2d 422, 422-423 [2d Dept 1996]; </w:t>
      </w:r>
      <w:r w:rsidR="00BB07BA" w:rsidRPr="007A3F83">
        <w:rPr>
          <w:rFonts w:ascii="Times New Roman" w:hAnsi="Times New Roman" w:cs="Times New Roman"/>
          <w:i/>
          <w:iCs/>
          <w:color w:val="3D3D3D"/>
          <w:sz w:val="24"/>
          <w:szCs w:val="24"/>
        </w:rPr>
        <w:t>Weinberg</w:t>
      </w:r>
      <w:r w:rsidR="00BB07BA" w:rsidRPr="007A3F83">
        <w:rPr>
          <w:rFonts w:ascii="Times New Roman" w:hAnsi="Times New Roman" w:cs="Times New Roman"/>
          <w:color w:val="3D3D3D"/>
          <w:sz w:val="24"/>
          <w:szCs w:val="24"/>
        </w:rPr>
        <w:t xml:space="preserve">, 183 AD2d at 934; </w:t>
      </w:r>
      <w:r w:rsidR="00BB07BA" w:rsidRPr="007A3F83">
        <w:rPr>
          <w:rFonts w:ascii="Times New Roman" w:hAnsi="Times New Roman" w:cs="Times New Roman"/>
          <w:i/>
          <w:iCs/>
          <w:color w:val="3D3D3D"/>
          <w:sz w:val="24"/>
          <w:szCs w:val="24"/>
        </w:rPr>
        <w:t>Matter of Dunn Garden Apts. v Commissioner of Assessment &amp; Taxation of City of Troy</w:t>
      </w:r>
      <w:r w:rsidR="00BB07BA" w:rsidRPr="007A3F83">
        <w:rPr>
          <w:rFonts w:ascii="Times New Roman" w:hAnsi="Times New Roman" w:cs="Times New Roman"/>
          <w:color w:val="3D3D3D"/>
          <w:sz w:val="24"/>
          <w:szCs w:val="24"/>
        </w:rPr>
        <w:t>, 11 AD2d 879, 880 [3d Dept 1960]).</w:t>
      </w:r>
    </w:p>
    <w:p w:rsidR="00CF5026" w:rsidRPr="007A3F83" w:rsidRDefault="00CF5026" w:rsidP="00BF5255">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CF5026" w:rsidRPr="007A3F83" w:rsidRDefault="00BF5255" w:rsidP="00BF5255">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color w:val="3D3D3D"/>
          <w:sz w:val="24"/>
          <w:szCs w:val="24"/>
        </w:rPr>
        <w:tab/>
      </w:r>
      <w:r w:rsidR="00BB07BA" w:rsidRPr="007A3F83">
        <w:rPr>
          <w:rFonts w:ascii="Times New Roman" w:hAnsi="Times New Roman" w:cs="Times New Roman"/>
          <w:color w:val="3D3D3D"/>
          <w:sz w:val="24"/>
          <w:szCs w:val="24"/>
        </w:rPr>
        <w:t>Third, the proponent of the chart, summary or calculation must establish that the summary is an accurate representation of the originals (</w:t>
      </w:r>
      <w:r w:rsidR="00BB07BA" w:rsidRPr="007A3F83">
        <w:rPr>
          <w:rFonts w:ascii="Times New Roman" w:hAnsi="Times New Roman" w:cs="Times New Roman"/>
          <w:i/>
          <w:iCs/>
          <w:color w:val="3D3D3D"/>
          <w:sz w:val="24"/>
          <w:szCs w:val="24"/>
        </w:rPr>
        <w:t>see Public Operating Corp.</w:t>
      </w:r>
      <w:r>
        <w:rPr>
          <w:rFonts w:ascii="Times New Roman" w:hAnsi="Times New Roman" w:cs="Times New Roman"/>
          <w:color w:val="3D3D3D"/>
          <w:sz w:val="24"/>
          <w:szCs w:val="24"/>
        </w:rPr>
        <w:t xml:space="preserve">, 257 App </w:t>
      </w:r>
      <w:proofErr w:type="spellStart"/>
      <w:r>
        <w:rPr>
          <w:rFonts w:ascii="Times New Roman" w:hAnsi="Times New Roman" w:cs="Times New Roman"/>
          <w:color w:val="3D3D3D"/>
          <w:sz w:val="24"/>
          <w:szCs w:val="24"/>
        </w:rPr>
        <w:t>Div</w:t>
      </w:r>
      <w:proofErr w:type="spellEnd"/>
      <w:r>
        <w:rPr>
          <w:rFonts w:ascii="Times New Roman" w:hAnsi="Times New Roman" w:cs="Times New Roman"/>
          <w:color w:val="3D3D3D"/>
          <w:sz w:val="24"/>
          <w:szCs w:val="24"/>
        </w:rPr>
        <w:t xml:space="preserve"> at 382).</w:t>
      </w:r>
    </w:p>
    <w:p w:rsidR="00CF5026" w:rsidRPr="007A3F83" w:rsidRDefault="00CF5026" w:rsidP="007A3F83">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CF5026" w:rsidRPr="007A3F83" w:rsidRDefault="009E43C6" w:rsidP="009E43C6">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color w:val="3D3D3D"/>
          <w:sz w:val="24"/>
          <w:szCs w:val="24"/>
        </w:rPr>
        <w:tab/>
      </w:r>
      <w:bookmarkStart w:id="0" w:name="_GoBack"/>
      <w:bookmarkEnd w:id="0"/>
      <w:r w:rsidR="00BB07BA" w:rsidRPr="007A3F83">
        <w:rPr>
          <w:rFonts w:ascii="Times New Roman" w:hAnsi="Times New Roman" w:cs="Times New Roman"/>
          <w:color w:val="3D3D3D"/>
          <w:sz w:val="24"/>
          <w:szCs w:val="24"/>
        </w:rPr>
        <w:t>Fourth, the party against whom the chart, summary, or calculation is being offered must be given an opportunity to challenge its accuracy (</w:t>
      </w:r>
      <w:r w:rsidR="00BB07BA" w:rsidRPr="007A3F83">
        <w:rPr>
          <w:rFonts w:ascii="Times New Roman" w:hAnsi="Times New Roman" w:cs="Times New Roman"/>
          <w:i/>
          <w:iCs/>
          <w:color w:val="3D3D3D"/>
          <w:sz w:val="24"/>
          <w:szCs w:val="24"/>
        </w:rPr>
        <w:t>People v Case</w:t>
      </w:r>
      <w:r w:rsidR="00BB07BA" w:rsidRPr="007A3F83">
        <w:rPr>
          <w:rFonts w:ascii="Times New Roman" w:hAnsi="Times New Roman" w:cs="Times New Roman"/>
          <w:color w:val="3D3D3D"/>
          <w:sz w:val="24"/>
          <w:szCs w:val="24"/>
        </w:rPr>
        <w:t xml:space="preserve">, 114 AD3d 1308, 1309 [4th Dept 2014] [summary exhibits were improperly admitted under the voluminous writings exception to the best evidence rule inasmuch as defendant was not provided with the data underlying those exhibits before trial]; </w:t>
      </w:r>
      <w:r w:rsidR="00BB07BA" w:rsidRPr="007A3F83">
        <w:rPr>
          <w:rFonts w:ascii="Times New Roman" w:hAnsi="Times New Roman" w:cs="Times New Roman"/>
          <w:i/>
          <w:iCs/>
          <w:color w:val="3D3D3D"/>
          <w:sz w:val="24"/>
          <w:szCs w:val="24"/>
        </w:rPr>
        <w:t>Weinberg</w:t>
      </w:r>
      <w:r w:rsidR="00BB07BA" w:rsidRPr="007A3F83">
        <w:rPr>
          <w:rFonts w:ascii="Times New Roman" w:hAnsi="Times New Roman" w:cs="Times New Roman"/>
          <w:color w:val="3D3D3D"/>
          <w:sz w:val="24"/>
          <w:szCs w:val="24"/>
        </w:rPr>
        <w:t>, 183 AD2d at 934;</w:t>
      </w:r>
      <w:r w:rsidR="00BB07BA" w:rsidRPr="007A3F83">
        <w:rPr>
          <w:rFonts w:ascii="Times New Roman" w:hAnsi="Times New Roman" w:cs="Times New Roman"/>
          <w:i/>
          <w:iCs/>
          <w:color w:val="3D3D3D"/>
          <w:sz w:val="24"/>
          <w:szCs w:val="24"/>
        </w:rPr>
        <w:t xml:space="preserve"> Public Operating Corp.</w:t>
      </w:r>
      <w:r w:rsidR="00BB07BA" w:rsidRPr="007A3F83">
        <w:rPr>
          <w:rFonts w:ascii="Times New Roman" w:hAnsi="Times New Roman" w:cs="Times New Roman"/>
          <w:color w:val="3D3D3D"/>
          <w:sz w:val="24"/>
          <w:szCs w:val="24"/>
        </w:rPr>
        <w:t xml:space="preserve">, 257 App </w:t>
      </w:r>
      <w:proofErr w:type="spellStart"/>
      <w:r w:rsidR="00BB07BA" w:rsidRPr="007A3F83">
        <w:rPr>
          <w:rFonts w:ascii="Times New Roman" w:hAnsi="Times New Roman" w:cs="Times New Roman"/>
          <w:color w:val="3D3D3D"/>
          <w:sz w:val="24"/>
          <w:szCs w:val="24"/>
        </w:rPr>
        <w:t>Div</w:t>
      </w:r>
      <w:proofErr w:type="spellEnd"/>
      <w:r w:rsidR="00BB07BA" w:rsidRPr="007A3F83">
        <w:rPr>
          <w:rFonts w:ascii="Times New Roman" w:hAnsi="Times New Roman" w:cs="Times New Roman"/>
          <w:color w:val="3D3D3D"/>
          <w:sz w:val="24"/>
          <w:szCs w:val="24"/>
        </w:rPr>
        <w:t xml:space="preserve"> at 383). In this connection, the court may also order the originals to be produced in court.</w:t>
      </w:r>
    </w:p>
    <w:p w:rsidR="00CF5026" w:rsidRPr="007A3F83" w:rsidRDefault="00CF5026" w:rsidP="007A3F83">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p>
    <w:p w:rsidR="00CF5026" w:rsidRPr="007A3F83" w:rsidRDefault="00BB07BA" w:rsidP="007A3F83">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sz w:val="24"/>
          <w:szCs w:val="24"/>
        </w:rPr>
      </w:pPr>
      <w:r w:rsidRPr="007A3F83">
        <w:rPr>
          <w:rFonts w:ascii="Times New Roman" w:hAnsi="Times New Roman" w:cs="Times New Roman"/>
          <w:color w:val="3D3D3D"/>
          <w:sz w:val="24"/>
          <w:szCs w:val="24"/>
        </w:rPr>
        <w:tab/>
        <w:t>Where the chart, summary or calculation is used only for demonstrative purposes, this rule does not apply (</w:t>
      </w:r>
      <w:r w:rsidRPr="007A3F83">
        <w:rPr>
          <w:rFonts w:ascii="Times New Roman" w:hAnsi="Times New Roman" w:cs="Times New Roman"/>
          <w:i/>
          <w:iCs/>
          <w:color w:val="3D3D3D"/>
          <w:sz w:val="24"/>
          <w:szCs w:val="24"/>
        </w:rPr>
        <w:t xml:space="preserve">see Sager </w:t>
      </w:r>
      <w:proofErr w:type="spellStart"/>
      <w:r w:rsidRPr="007A3F83">
        <w:rPr>
          <w:rFonts w:ascii="Times New Roman" w:hAnsi="Times New Roman" w:cs="Times New Roman"/>
          <w:i/>
          <w:iCs/>
          <w:color w:val="3D3D3D"/>
          <w:sz w:val="24"/>
          <w:szCs w:val="24"/>
        </w:rPr>
        <w:t>Spuck</w:t>
      </w:r>
      <w:proofErr w:type="spellEnd"/>
      <w:r w:rsidRPr="007A3F83">
        <w:rPr>
          <w:rFonts w:ascii="Times New Roman" w:hAnsi="Times New Roman" w:cs="Times New Roman"/>
          <w:i/>
          <w:iCs/>
          <w:color w:val="3D3D3D"/>
          <w:sz w:val="24"/>
          <w:szCs w:val="24"/>
        </w:rPr>
        <w:t xml:space="preserve"> Statewide Supply Co. v Meyer</w:t>
      </w:r>
      <w:r w:rsidRPr="007A3F83">
        <w:rPr>
          <w:rFonts w:ascii="Times New Roman" w:hAnsi="Times New Roman" w:cs="Times New Roman"/>
          <w:color w:val="3D3D3D"/>
          <w:sz w:val="24"/>
          <w:szCs w:val="24"/>
        </w:rPr>
        <w:t xml:space="preserve">, 298 AD2d 794, 795 [3d Dept 2002] [summary of plaintiff’s sales while not admissible as business record was properly admitted for the limited purpose of aiding the jury in understanding the voluminous data already admitted]; </w:t>
      </w:r>
      <w:proofErr w:type="spellStart"/>
      <w:r w:rsidRPr="007A3F83">
        <w:rPr>
          <w:rFonts w:ascii="Times New Roman" w:hAnsi="Times New Roman" w:cs="Times New Roman"/>
          <w:i/>
          <w:iCs/>
          <w:color w:val="3D3D3D"/>
          <w:sz w:val="24"/>
          <w:szCs w:val="24"/>
        </w:rPr>
        <w:t>Lauro</w:t>
      </w:r>
      <w:proofErr w:type="spellEnd"/>
      <w:r w:rsidRPr="007A3F83">
        <w:rPr>
          <w:rFonts w:ascii="Times New Roman" w:hAnsi="Times New Roman" w:cs="Times New Roman"/>
          <w:i/>
          <w:iCs/>
          <w:color w:val="3D3D3D"/>
          <w:sz w:val="24"/>
          <w:szCs w:val="24"/>
        </w:rPr>
        <w:t xml:space="preserve"> v Bradley</w:t>
      </w:r>
      <w:r w:rsidRPr="007A3F83">
        <w:rPr>
          <w:rFonts w:ascii="Times New Roman" w:hAnsi="Times New Roman" w:cs="Times New Roman"/>
          <w:color w:val="3D3D3D"/>
          <w:sz w:val="24"/>
          <w:szCs w:val="24"/>
        </w:rPr>
        <w:t xml:space="preserve">, 265 AD2d 875, 875 [4th Dept 1999] [“A witness testifying concerning hundreds of items may use a list of those items, and after the witness has testified the list may be admitted in evidence, ‘not as proving anything of itself, but as a detailed statement of the items testified to by the witness’ ”]; </w:t>
      </w:r>
      <w:r w:rsidRPr="007A3F83">
        <w:rPr>
          <w:rFonts w:ascii="Times New Roman" w:hAnsi="Times New Roman" w:cs="Times New Roman"/>
          <w:i/>
          <w:iCs/>
          <w:color w:val="3D3D3D"/>
          <w:sz w:val="24"/>
          <w:szCs w:val="24"/>
        </w:rPr>
        <w:t>Potter</w:t>
      </w:r>
      <w:r w:rsidRPr="007A3F83">
        <w:rPr>
          <w:rFonts w:ascii="Times New Roman" w:hAnsi="Times New Roman" w:cs="Times New Roman"/>
          <w:color w:val="3D3D3D"/>
          <w:sz w:val="24"/>
          <w:szCs w:val="24"/>
        </w:rPr>
        <w:t>, 255 AD2d at 767 [“visual aids”]).</w:t>
      </w:r>
    </w:p>
    <w:sectPr w:rsidR="00CF5026" w:rsidRPr="007A3F83" w:rsidSect="007A3F83">
      <w:footerReference w:type="default" r:id="rId6"/>
      <w:type w:val="continuous"/>
      <w:pgSz w:w="12240" w:h="15840" w:code="1"/>
      <w:pgMar w:top="1440" w:right="2160" w:bottom="1440" w:left="21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026" w:rsidRDefault="00BB07BA">
      <w:r>
        <w:separator/>
      </w:r>
    </w:p>
  </w:endnote>
  <w:endnote w:type="continuationSeparator" w:id="0">
    <w:p w:rsidR="00CF5026" w:rsidRDefault="00BB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026" w:rsidRDefault="00BB07BA">
    <w:pPr>
      <w:pStyle w:val="Footer"/>
      <w:widowControl/>
      <w:tabs>
        <w:tab w:val="clear" w:pos="4680"/>
        <w:tab w:val="clear" w:pos="7920"/>
        <w:tab w:val="center" w:pos="5544"/>
        <w:tab w:val="right" w:pos="8784"/>
      </w:tabs>
      <w:ind w:left="864" w:right="864"/>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026" w:rsidRDefault="00BB07BA">
      <w:r>
        <w:separator/>
      </w:r>
    </w:p>
  </w:footnote>
  <w:footnote w:type="continuationSeparator" w:id="0">
    <w:p w:rsidR="00CF5026" w:rsidRDefault="00BB0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B07BA"/>
    <w:rsid w:val="007A3F83"/>
    <w:rsid w:val="009E43C6"/>
    <w:rsid w:val="00BB07BA"/>
    <w:rsid w:val="00BF5255"/>
    <w:rsid w:val="00CF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D58F8"/>
  <w14:defaultImageDpi w14:val="0"/>
  <w15:docId w15:val="{B1B953B3-513D-49C5-BF16-BA58689C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7920"/>
      </w:tabs>
      <w:jc w:val="both"/>
    </w:pPr>
    <w:rPr>
      <w:rFonts w:ascii="Calibri" w:hAnsi="Calibri" w:cs="Calibri"/>
      <w:sz w:val="22"/>
      <w:szCs w:val="22"/>
    </w:rPr>
  </w:style>
  <w:style w:type="character" w:customStyle="1" w:styleId="FooterChar">
    <w:name w:val="Footer Char"/>
    <w:basedOn w:val="DefaultParagraphFont"/>
    <w:link w:val="Footer"/>
    <w:uiPriority w:val="99"/>
    <w:semiHidden/>
    <w:rPr>
      <w:rFonts w:ascii="Times New Roman" w:hAnsi="Times New Roman" w:cs="Times New Roman"/>
      <w:sz w:val="20"/>
      <w:szCs w:val="20"/>
    </w:rPr>
  </w:style>
  <w:style w:type="paragraph" w:styleId="NoSpacing">
    <w:name w:val="No Spacing"/>
    <w:uiPriority w:val="99"/>
    <w:qFormat/>
    <w:pPr>
      <w:widowControl w:val="0"/>
      <w:autoSpaceDE w:val="0"/>
      <w:autoSpaceDN w:val="0"/>
      <w:adjustRightInd w:val="0"/>
      <w:spacing w:after="0" w:line="240" w:lineRule="auto"/>
      <w:jc w:val="both"/>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722</Words>
  <Characters>3669</Characters>
  <Application>Microsoft Office Word</Application>
  <DocSecurity>0</DocSecurity>
  <Lines>60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Katherine Breitenbach</cp:lastModifiedBy>
  <cp:revision>4</cp:revision>
  <dcterms:created xsi:type="dcterms:W3CDTF">2019-12-13T19:04:00Z</dcterms:created>
  <dcterms:modified xsi:type="dcterms:W3CDTF">2019-12-14T19:16:00Z</dcterms:modified>
</cp:coreProperties>
</file>