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EA40D" w14:textId="24DF68BE" w:rsidR="00387ECC" w:rsidRPr="00240178" w:rsidRDefault="00387ECC" w:rsidP="00240178">
      <w:pPr>
        <w:kinsoku w:val="0"/>
        <w:overflowPunct w:val="0"/>
        <w:spacing w:line="240" w:lineRule="auto"/>
        <w:ind w:left="0" w:right="0"/>
        <w:jc w:val="both"/>
        <w:textAlignment w:val="baseline"/>
        <w:rPr>
          <w:rFonts w:cs="Times New Roman"/>
          <w:b/>
          <w:bCs/>
          <w:sz w:val="28"/>
          <w:szCs w:val="28"/>
        </w:rPr>
      </w:pPr>
      <w:r w:rsidRPr="00240178">
        <w:rPr>
          <w:rFonts w:cs="Times New Roman"/>
          <w:b/>
          <w:bCs/>
          <w:sz w:val="28"/>
          <w:szCs w:val="28"/>
        </w:rPr>
        <w:t>3.05 Presumptions Accorded Defendant in a Criminal Proceeding</w:t>
      </w:r>
    </w:p>
    <w:p w14:paraId="48095E02" w14:textId="77777777" w:rsidR="00240178" w:rsidRPr="00240178" w:rsidRDefault="00240178" w:rsidP="00240178">
      <w:pPr>
        <w:kinsoku w:val="0"/>
        <w:overflowPunct w:val="0"/>
        <w:spacing w:line="240" w:lineRule="auto"/>
        <w:ind w:left="0" w:right="0"/>
        <w:jc w:val="both"/>
        <w:textAlignment w:val="baseline"/>
        <w:rPr>
          <w:rFonts w:cs="Times New Roman"/>
          <w:b/>
          <w:bCs/>
          <w:sz w:val="28"/>
          <w:szCs w:val="28"/>
        </w:rPr>
      </w:pPr>
    </w:p>
    <w:p w14:paraId="5B38656E" w14:textId="77777777" w:rsidR="00387ECC" w:rsidRPr="00240178" w:rsidRDefault="00387ECC" w:rsidP="00240178">
      <w:pPr>
        <w:kinsoku w:val="0"/>
        <w:overflowPunct w:val="0"/>
        <w:spacing w:line="240" w:lineRule="auto"/>
        <w:ind w:left="720" w:right="720"/>
        <w:jc w:val="both"/>
        <w:textAlignment w:val="baseline"/>
        <w:rPr>
          <w:rFonts w:cs="Times New Roman"/>
          <w:b/>
          <w:bCs/>
          <w:sz w:val="28"/>
          <w:szCs w:val="28"/>
        </w:rPr>
      </w:pPr>
      <w:r w:rsidRPr="00240178">
        <w:rPr>
          <w:rFonts w:cs="Times New Roman"/>
          <w:b/>
          <w:bCs/>
          <w:sz w:val="28"/>
          <w:szCs w:val="28"/>
        </w:rPr>
        <w:t>(1) In a criminal proceeding, the defendant is presumed to be innocent.</w:t>
      </w:r>
      <w:r w:rsidRPr="00240178">
        <w:rPr>
          <w:rFonts w:cs="Times New Roman"/>
          <w:b/>
          <w:bCs/>
          <w:sz w:val="28"/>
          <w:szCs w:val="28"/>
          <w:vertAlign w:val="superscript"/>
        </w:rPr>
        <w:t xml:space="preserve"> </w:t>
      </w:r>
      <w:r w:rsidRPr="00240178">
        <w:rPr>
          <w:rFonts w:cs="Times New Roman"/>
          <w:b/>
          <w:bCs/>
          <w:sz w:val="28"/>
          <w:szCs w:val="28"/>
        </w:rPr>
        <w:t>As a result, the People are required to prove a defendant’s guilt of a charged offense beyond a reasonable doubt.</w:t>
      </w:r>
    </w:p>
    <w:p w14:paraId="1D981D95" w14:textId="77777777" w:rsidR="00387ECC" w:rsidRPr="00240178" w:rsidRDefault="00387ECC" w:rsidP="00240178">
      <w:pPr>
        <w:kinsoku w:val="0"/>
        <w:overflowPunct w:val="0"/>
        <w:spacing w:line="240" w:lineRule="auto"/>
        <w:ind w:left="0" w:right="1008"/>
        <w:jc w:val="both"/>
        <w:textAlignment w:val="baseline"/>
        <w:rPr>
          <w:rFonts w:cs="Times New Roman"/>
          <w:b/>
          <w:bCs/>
          <w:sz w:val="28"/>
          <w:szCs w:val="28"/>
        </w:rPr>
      </w:pPr>
    </w:p>
    <w:p w14:paraId="6FB390D4" w14:textId="7A49B728" w:rsidR="00387ECC" w:rsidRPr="00240178" w:rsidRDefault="00387ECC" w:rsidP="00240178">
      <w:pPr>
        <w:kinsoku w:val="0"/>
        <w:overflowPunct w:val="0"/>
        <w:spacing w:line="240" w:lineRule="auto"/>
        <w:ind w:left="720" w:right="720"/>
        <w:jc w:val="both"/>
        <w:textAlignment w:val="baseline"/>
        <w:rPr>
          <w:rFonts w:cs="Times New Roman"/>
          <w:b/>
          <w:bCs/>
          <w:sz w:val="28"/>
          <w:szCs w:val="28"/>
        </w:rPr>
      </w:pPr>
      <w:r w:rsidRPr="00240178">
        <w:rPr>
          <w:rFonts w:cs="Times New Roman"/>
          <w:b/>
          <w:bCs/>
          <w:sz w:val="28"/>
          <w:szCs w:val="28"/>
        </w:rPr>
        <w:t xml:space="preserve">(2) (a) In a hearing to determine whether a pretrial identification procedure was unduly suggestive, a rebuttable presumption that the procedure was suggestive arises when the People either fail to preserve photographs, whether in physical form or computer-generated, </w:t>
      </w:r>
      <w:bookmarkStart w:id="0" w:name="_Hlk67945456"/>
      <w:r w:rsidRPr="00240178">
        <w:rPr>
          <w:rFonts w:cs="Times New Roman"/>
          <w:b/>
          <w:bCs/>
          <w:sz w:val="28"/>
          <w:szCs w:val="28"/>
        </w:rPr>
        <w:t>that</w:t>
      </w:r>
      <w:r w:rsidRPr="00240178">
        <w:rPr>
          <w:rFonts w:cs="Times New Roman"/>
          <w:b/>
          <w:bCs/>
          <w:color w:val="00B0F0"/>
          <w:sz w:val="28"/>
          <w:szCs w:val="28"/>
        </w:rPr>
        <w:t xml:space="preserve"> </w:t>
      </w:r>
      <w:r w:rsidRPr="00240178">
        <w:rPr>
          <w:rFonts w:cs="Times New Roman"/>
          <w:b/>
          <w:bCs/>
          <w:sz w:val="28"/>
          <w:szCs w:val="28"/>
        </w:rPr>
        <w:t>the identifying witness viewed</w:t>
      </w:r>
      <w:bookmarkEnd w:id="0"/>
      <w:r w:rsidRPr="00240178">
        <w:rPr>
          <w:rFonts w:cs="Times New Roman"/>
          <w:b/>
          <w:bCs/>
          <w:sz w:val="28"/>
          <w:szCs w:val="28"/>
        </w:rPr>
        <w:t xml:space="preserve"> or fail to preserve a photograph of a lineup that the identifying witness viewed.</w:t>
      </w:r>
    </w:p>
    <w:p w14:paraId="4EA17B38" w14:textId="77777777" w:rsidR="00240178" w:rsidRPr="00240178" w:rsidRDefault="00240178" w:rsidP="00240178">
      <w:pPr>
        <w:kinsoku w:val="0"/>
        <w:overflowPunct w:val="0"/>
        <w:spacing w:line="240" w:lineRule="auto"/>
        <w:ind w:left="0" w:right="720"/>
        <w:jc w:val="both"/>
        <w:textAlignment w:val="baseline"/>
        <w:rPr>
          <w:rFonts w:cs="Times New Roman"/>
          <w:b/>
          <w:bCs/>
          <w:sz w:val="28"/>
          <w:szCs w:val="28"/>
        </w:rPr>
      </w:pPr>
    </w:p>
    <w:p w14:paraId="56C7FB97" w14:textId="7DF22C7C" w:rsidR="00387ECC" w:rsidRPr="00240178" w:rsidRDefault="00387ECC" w:rsidP="00240178">
      <w:pPr>
        <w:kinsoku w:val="0"/>
        <w:overflowPunct w:val="0"/>
        <w:spacing w:line="240" w:lineRule="auto"/>
        <w:ind w:left="720" w:right="720"/>
        <w:jc w:val="both"/>
        <w:textAlignment w:val="baseline"/>
        <w:rPr>
          <w:rFonts w:cs="Times New Roman"/>
          <w:b/>
          <w:bCs/>
          <w:sz w:val="28"/>
          <w:szCs w:val="28"/>
        </w:rPr>
      </w:pPr>
      <w:r w:rsidRPr="00240178">
        <w:rPr>
          <w:rFonts w:cs="Times New Roman"/>
          <w:b/>
          <w:bCs/>
          <w:sz w:val="28"/>
          <w:szCs w:val="28"/>
        </w:rPr>
        <w:t>(b) The People may rebut the presumption by proof of procedures used to safeguard against suggestiveness.</w:t>
      </w:r>
    </w:p>
    <w:p w14:paraId="510BC352" w14:textId="77777777" w:rsidR="00387ECC" w:rsidRPr="00240178" w:rsidRDefault="00387ECC" w:rsidP="00240178">
      <w:pPr>
        <w:kinsoku w:val="0"/>
        <w:overflowPunct w:val="0"/>
        <w:spacing w:line="240" w:lineRule="auto"/>
        <w:ind w:left="0" w:right="1008"/>
        <w:jc w:val="both"/>
        <w:textAlignment w:val="baseline"/>
        <w:rPr>
          <w:rFonts w:cs="Times New Roman"/>
          <w:b/>
          <w:bCs/>
          <w:sz w:val="28"/>
          <w:szCs w:val="28"/>
        </w:rPr>
      </w:pPr>
    </w:p>
    <w:p w14:paraId="4B50F71B" w14:textId="75316020" w:rsidR="00387ECC" w:rsidRPr="00240178" w:rsidRDefault="00387ECC" w:rsidP="00240178">
      <w:pPr>
        <w:kinsoku w:val="0"/>
        <w:overflowPunct w:val="0"/>
        <w:spacing w:line="240" w:lineRule="auto"/>
        <w:ind w:left="720" w:right="720"/>
        <w:jc w:val="both"/>
        <w:textAlignment w:val="baseline"/>
        <w:rPr>
          <w:rFonts w:cs="Times New Roman"/>
          <w:b/>
          <w:bCs/>
          <w:sz w:val="28"/>
          <w:szCs w:val="28"/>
        </w:rPr>
      </w:pPr>
      <w:r w:rsidRPr="00240178">
        <w:rPr>
          <w:rFonts w:cs="Times New Roman"/>
          <w:b/>
          <w:bCs/>
          <w:sz w:val="28"/>
          <w:szCs w:val="28"/>
        </w:rPr>
        <w:t xml:space="preserve">(3) (a) Where a defendant is successful on appeal in having a judgment of conviction reversed or in having the appellate court order a resentence, a rebuttable presumption of vindictiveness may arise when the defendant is subsequently sentenced for the same offense and given a greater sentence than was imposed after the defendant’s initial conviction, </w:t>
      </w:r>
      <w:r w:rsidRPr="00240178">
        <w:rPr>
          <w:rFonts w:cs="Times New Roman"/>
          <w:b/>
          <w:bCs/>
          <w:sz w:val="28"/>
          <w:szCs w:val="28"/>
          <w:lang w:val="x-none"/>
        </w:rPr>
        <w:t>irrespective of whether the</w:t>
      </w:r>
      <w:r w:rsidRPr="00240178">
        <w:rPr>
          <w:rFonts w:cs="Times New Roman"/>
          <w:b/>
          <w:bCs/>
          <w:sz w:val="28"/>
          <w:szCs w:val="28"/>
        </w:rPr>
        <w:t xml:space="preserve"> same judge presided over both sentences.</w:t>
      </w:r>
      <w:r w:rsidRPr="00240178">
        <w:rPr>
          <w:rFonts w:cs="Times New Roman"/>
          <w:b/>
          <w:bCs/>
          <w:sz w:val="28"/>
          <w:szCs w:val="28"/>
          <w:lang w:val="x-none"/>
        </w:rPr>
        <w:t xml:space="preserve"> </w:t>
      </w:r>
      <w:r w:rsidRPr="00240178">
        <w:rPr>
          <w:rFonts w:cs="Times New Roman"/>
          <w:b/>
          <w:bCs/>
          <w:sz w:val="28"/>
          <w:szCs w:val="28"/>
        </w:rPr>
        <w:t>The presumption is inapplicable when the defendant is given the same sentence as was imposed on the initial conviction.</w:t>
      </w:r>
    </w:p>
    <w:p w14:paraId="7C24AA3C" w14:textId="77777777" w:rsidR="00387ECC" w:rsidRPr="00240178" w:rsidRDefault="00387ECC" w:rsidP="00240178">
      <w:pPr>
        <w:kinsoku w:val="0"/>
        <w:overflowPunct w:val="0"/>
        <w:spacing w:line="240" w:lineRule="auto"/>
        <w:ind w:left="0" w:right="1008"/>
        <w:jc w:val="both"/>
        <w:textAlignment w:val="baseline"/>
        <w:rPr>
          <w:rFonts w:cs="Times New Roman"/>
          <w:b/>
          <w:bCs/>
          <w:sz w:val="28"/>
          <w:szCs w:val="28"/>
        </w:rPr>
      </w:pPr>
    </w:p>
    <w:p w14:paraId="25A3C16D" w14:textId="02419DAC" w:rsidR="00387ECC" w:rsidRPr="00240178" w:rsidRDefault="00387ECC" w:rsidP="00240178">
      <w:pPr>
        <w:kinsoku w:val="0"/>
        <w:overflowPunct w:val="0"/>
        <w:spacing w:line="240" w:lineRule="auto"/>
        <w:ind w:left="720" w:right="720"/>
        <w:jc w:val="both"/>
        <w:textAlignment w:val="baseline"/>
        <w:rPr>
          <w:rFonts w:cs="Times New Roman"/>
          <w:b/>
          <w:bCs/>
          <w:sz w:val="28"/>
          <w:szCs w:val="28"/>
          <w:lang w:val="x-none"/>
        </w:rPr>
      </w:pPr>
      <w:r w:rsidRPr="00240178">
        <w:rPr>
          <w:rFonts w:cs="Times New Roman"/>
          <w:b/>
          <w:bCs/>
          <w:sz w:val="28"/>
          <w:szCs w:val="28"/>
        </w:rPr>
        <w:t>(b) The presumption may be rebutted where the trial court identifies reasons based on objective information concerning identifiable conduct on the part of the defendant occurring after the time of the original sentencing proceeding.</w:t>
      </w:r>
    </w:p>
    <w:p w14:paraId="16402F5E" w14:textId="77777777" w:rsidR="00387ECC" w:rsidRPr="00240178" w:rsidRDefault="00387ECC" w:rsidP="00240178">
      <w:pPr>
        <w:spacing w:line="240" w:lineRule="auto"/>
        <w:ind w:left="0"/>
        <w:rPr>
          <w:rFonts w:cs="Times New Roman"/>
          <w:sz w:val="28"/>
          <w:szCs w:val="28"/>
        </w:rPr>
      </w:pPr>
    </w:p>
    <w:p w14:paraId="3765E88A" w14:textId="77777777" w:rsidR="00387ECC" w:rsidRPr="00240178" w:rsidRDefault="00387ECC" w:rsidP="00240178">
      <w:pPr>
        <w:spacing w:line="240" w:lineRule="auto"/>
        <w:jc w:val="center"/>
        <w:rPr>
          <w:rFonts w:cs="Times New Roman"/>
          <w:b/>
          <w:bCs/>
          <w:sz w:val="28"/>
          <w:szCs w:val="28"/>
        </w:rPr>
      </w:pPr>
      <w:r w:rsidRPr="00240178">
        <w:rPr>
          <w:rFonts w:cs="Times New Roman"/>
          <w:b/>
          <w:bCs/>
          <w:sz w:val="28"/>
          <w:szCs w:val="28"/>
        </w:rPr>
        <w:t>Note</w:t>
      </w:r>
    </w:p>
    <w:p w14:paraId="5B96C33C" w14:textId="77777777" w:rsidR="00387ECC" w:rsidRPr="00240178" w:rsidRDefault="00387ECC" w:rsidP="00240178">
      <w:pPr>
        <w:spacing w:line="240" w:lineRule="auto"/>
        <w:jc w:val="center"/>
        <w:rPr>
          <w:rFonts w:cs="Times New Roman"/>
          <w:szCs w:val="24"/>
        </w:rPr>
      </w:pPr>
    </w:p>
    <w:p w14:paraId="41CCAB1D" w14:textId="5E0130BF" w:rsidR="00387ECC" w:rsidRPr="00240178" w:rsidRDefault="00387ECC" w:rsidP="00240178">
      <w:pPr>
        <w:spacing w:line="240" w:lineRule="auto"/>
        <w:ind w:left="0" w:right="0"/>
        <w:jc w:val="both"/>
        <w:rPr>
          <w:rFonts w:eastAsia="Times New Roman" w:cs="Times New Roman"/>
          <w:color w:val="000000"/>
          <w:szCs w:val="24"/>
          <w:shd w:val="clear" w:color="auto" w:fill="FFFFFF"/>
        </w:rPr>
      </w:pPr>
      <w:r w:rsidRPr="00240178">
        <w:rPr>
          <w:rFonts w:cs="Times New Roman"/>
          <w:szCs w:val="24"/>
        </w:rPr>
        <w:lastRenderedPageBreak/>
        <w:tab/>
      </w:r>
      <w:r w:rsidRPr="00240178">
        <w:rPr>
          <w:rFonts w:cs="Times New Roman"/>
          <w:b/>
          <w:bCs/>
          <w:szCs w:val="24"/>
        </w:rPr>
        <w:t>Subdivision (1)</w:t>
      </w:r>
      <w:r w:rsidRPr="00240178">
        <w:rPr>
          <w:rFonts w:cs="Times New Roman"/>
          <w:szCs w:val="24"/>
        </w:rPr>
        <w:t xml:space="preserve"> sets forth the bedrock principle of American criminal jurisprudence (CPL 300.10</w:t>
      </w:r>
      <w:r w:rsidR="005E6AE4" w:rsidRPr="00240178">
        <w:rPr>
          <w:rFonts w:cs="Times New Roman"/>
          <w:szCs w:val="24"/>
        </w:rPr>
        <w:t xml:space="preserve"> [</w:t>
      </w:r>
      <w:r w:rsidRPr="00240178">
        <w:rPr>
          <w:rFonts w:cs="Times New Roman"/>
          <w:szCs w:val="24"/>
        </w:rPr>
        <w:t>2</w:t>
      </w:r>
      <w:r w:rsidR="005E6AE4" w:rsidRPr="00240178">
        <w:rPr>
          <w:rFonts w:cs="Times New Roman"/>
          <w:szCs w:val="24"/>
        </w:rPr>
        <w:t>]</w:t>
      </w:r>
      <w:r w:rsidRPr="00240178">
        <w:rPr>
          <w:rFonts w:cs="Times New Roman"/>
          <w:szCs w:val="24"/>
        </w:rPr>
        <w:t xml:space="preserve">; </w:t>
      </w:r>
      <w:r w:rsidRPr="00240178">
        <w:rPr>
          <w:rFonts w:cs="Times New Roman"/>
          <w:i/>
          <w:iCs/>
          <w:spacing w:val="2"/>
          <w:szCs w:val="24"/>
        </w:rPr>
        <w:t>Estelle v Williams</w:t>
      </w:r>
      <w:r w:rsidRPr="00240178">
        <w:rPr>
          <w:rFonts w:cs="Times New Roman"/>
          <w:spacing w:val="2"/>
          <w:szCs w:val="24"/>
        </w:rPr>
        <w:t>, 425 US 501, 503 [1976] [“The right to a fair trial is a fundamental liberty secured by the Fourteenth Amendment.  The presumption of innocence, although not articulated in the Constitution, is a basic component of a fair trial under our system of criminal justice” (citation omitted)</w:t>
      </w:r>
      <w:r w:rsidR="005E6AE4" w:rsidRPr="00240178">
        <w:rPr>
          <w:rFonts w:cs="Times New Roman"/>
          <w:spacing w:val="2"/>
          <w:szCs w:val="24"/>
        </w:rPr>
        <w:t>]</w:t>
      </w:r>
      <w:r w:rsidRPr="00240178">
        <w:rPr>
          <w:rFonts w:cs="Times New Roman"/>
          <w:spacing w:val="2"/>
          <w:szCs w:val="24"/>
        </w:rPr>
        <w:t xml:space="preserve">; </w:t>
      </w:r>
      <w:r w:rsidRPr="00240178">
        <w:rPr>
          <w:rFonts w:cs="Times New Roman"/>
          <w:i/>
          <w:iCs/>
          <w:spacing w:val="2"/>
          <w:szCs w:val="24"/>
        </w:rPr>
        <w:t>Taylor v Kentucky</w:t>
      </w:r>
      <w:r w:rsidRPr="00240178">
        <w:rPr>
          <w:rFonts w:cs="Times New Roman"/>
          <w:spacing w:val="2"/>
          <w:szCs w:val="24"/>
        </w:rPr>
        <w:t>, 436 US 478, 490 [1978] [“the trial court</w:t>
      </w:r>
      <w:r w:rsidR="003331CD">
        <w:rPr>
          <w:rFonts w:cs="Times New Roman"/>
          <w:spacing w:val="2"/>
          <w:szCs w:val="24"/>
        </w:rPr>
        <w:t>’</w:t>
      </w:r>
      <w:r w:rsidRPr="00240178">
        <w:rPr>
          <w:rFonts w:cs="Times New Roman"/>
          <w:spacing w:val="2"/>
          <w:szCs w:val="24"/>
        </w:rPr>
        <w:t>s refusal to give petitioner</w:t>
      </w:r>
      <w:r w:rsidR="003331CD">
        <w:rPr>
          <w:rFonts w:cs="Times New Roman"/>
          <w:spacing w:val="2"/>
          <w:szCs w:val="24"/>
        </w:rPr>
        <w:t>’</w:t>
      </w:r>
      <w:r w:rsidRPr="00240178">
        <w:rPr>
          <w:rFonts w:cs="Times New Roman"/>
          <w:spacing w:val="2"/>
          <w:szCs w:val="24"/>
        </w:rPr>
        <w:t xml:space="preserve">s requested instruction on the presumption of innocence resulted in a violation of his right to a fair trial as guaranteed by the Due Process Clause of the Fourteenth Amendment”]; </w:t>
      </w:r>
      <w:r w:rsidRPr="00240178">
        <w:rPr>
          <w:rFonts w:cs="Times New Roman"/>
          <w:i/>
          <w:iCs/>
          <w:spacing w:val="2"/>
          <w:szCs w:val="24"/>
        </w:rPr>
        <w:t>In re Winship</w:t>
      </w:r>
      <w:r w:rsidRPr="00240178">
        <w:rPr>
          <w:rFonts w:cs="Times New Roman"/>
          <w:spacing w:val="2"/>
          <w:szCs w:val="24"/>
        </w:rPr>
        <w:t xml:space="preserve">, 397 US 358, 363 [1970] [“The reasonable-doubt standard plays a vital role in the American scheme of criminal procedure. It is a prime instrument for reducing the risk of convictions resting on factual error. The standard provides concrete substance for the presumption of innocence”]; </w:t>
      </w:r>
      <w:r w:rsidRPr="00240178">
        <w:rPr>
          <w:rFonts w:eastAsia="Times New Roman" w:cs="Times New Roman"/>
          <w:i/>
          <w:iCs/>
          <w:color w:val="000000"/>
          <w:szCs w:val="24"/>
        </w:rPr>
        <w:t>People v Antommarchi</w:t>
      </w:r>
      <w:r w:rsidRPr="00240178">
        <w:rPr>
          <w:rFonts w:eastAsia="Times New Roman" w:cs="Times New Roman"/>
          <w:color w:val="000000"/>
          <w:szCs w:val="24"/>
        </w:rPr>
        <w:t>, 80 NY2d 247, 252</w:t>
      </w:r>
      <w:r w:rsidR="00F91B91" w:rsidRPr="00240178">
        <w:rPr>
          <w:rFonts w:eastAsia="Times New Roman" w:cs="Times New Roman"/>
          <w:color w:val="000000"/>
          <w:szCs w:val="24"/>
        </w:rPr>
        <w:t xml:space="preserve"> </w:t>
      </w:r>
      <w:r w:rsidRPr="00240178">
        <w:rPr>
          <w:rFonts w:eastAsia="Times New Roman" w:cs="Times New Roman"/>
          <w:color w:val="000000"/>
          <w:szCs w:val="24"/>
        </w:rPr>
        <w:t xml:space="preserve">[1992] </w:t>
      </w:r>
      <w:r w:rsidRPr="00240178">
        <w:rPr>
          <w:rFonts w:eastAsia="Times New Roman" w:cs="Times New Roman"/>
          <w:color w:val="000000"/>
          <w:szCs w:val="24"/>
          <w:shd w:val="clear" w:color="auto" w:fill="FFFFFF"/>
        </w:rPr>
        <w:t>[“Manifestly, the burden of proving guilt beyond a reasonable doubt in a criminal proceeding must always remain with the People”]).</w:t>
      </w:r>
    </w:p>
    <w:p w14:paraId="63CD5AF7" w14:textId="77777777" w:rsidR="00387ECC" w:rsidRPr="00240178" w:rsidRDefault="00387ECC" w:rsidP="00240178">
      <w:pPr>
        <w:spacing w:line="240" w:lineRule="auto"/>
        <w:ind w:left="0"/>
        <w:jc w:val="both"/>
        <w:rPr>
          <w:rFonts w:cs="Times New Roman"/>
          <w:szCs w:val="24"/>
        </w:rPr>
      </w:pPr>
    </w:p>
    <w:p w14:paraId="582790FE" w14:textId="5F14A52C" w:rsidR="00387ECC" w:rsidRPr="00240178" w:rsidRDefault="00387ECC" w:rsidP="00240178">
      <w:pPr>
        <w:spacing w:line="240" w:lineRule="auto"/>
        <w:ind w:left="0" w:right="0"/>
        <w:jc w:val="both"/>
        <w:rPr>
          <w:rFonts w:cs="Times New Roman"/>
          <w:szCs w:val="24"/>
        </w:rPr>
      </w:pPr>
      <w:r w:rsidRPr="00240178">
        <w:rPr>
          <w:rFonts w:cs="Times New Roman"/>
          <w:szCs w:val="24"/>
        </w:rPr>
        <w:tab/>
      </w:r>
      <w:r w:rsidRPr="00240178">
        <w:rPr>
          <w:rFonts w:cs="Times New Roman"/>
          <w:b/>
          <w:bCs/>
          <w:szCs w:val="24"/>
        </w:rPr>
        <w:t>Subdivision (2)</w:t>
      </w:r>
      <w:r w:rsidRPr="00240178">
        <w:rPr>
          <w:rFonts w:cs="Times New Roman"/>
          <w:szCs w:val="24"/>
        </w:rPr>
        <w:t xml:space="preserve"> is derived from </w:t>
      </w:r>
      <w:r w:rsidRPr="00240178">
        <w:rPr>
          <w:rFonts w:cs="Times New Roman"/>
          <w:i/>
          <w:szCs w:val="24"/>
        </w:rPr>
        <w:t>People v Holley</w:t>
      </w:r>
      <w:r w:rsidRPr="00240178">
        <w:rPr>
          <w:rFonts w:cs="Times New Roman"/>
          <w:szCs w:val="24"/>
        </w:rPr>
        <w:t xml:space="preserve"> </w:t>
      </w:r>
      <w:r w:rsidR="00A3197D" w:rsidRPr="00240178">
        <w:rPr>
          <w:rFonts w:cs="Times New Roman"/>
          <w:szCs w:val="24"/>
        </w:rPr>
        <w:t>(</w:t>
      </w:r>
      <w:r w:rsidRPr="00240178">
        <w:rPr>
          <w:rFonts w:cs="Times New Roman"/>
          <w:szCs w:val="24"/>
        </w:rPr>
        <w:t>26 NY3d 514 [2015]</w:t>
      </w:r>
      <w:r w:rsidR="0048286F" w:rsidRPr="00240178">
        <w:rPr>
          <w:rFonts w:cs="Times New Roman"/>
          <w:szCs w:val="24"/>
        </w:rPr>
        <w:t xml:space="preserve"> </w:t>
      </w:r>
      <w:r w:rsidRPr="00240178">
        <w:rPr>
          <w:rFonts w:cs="Times New Roman"/>
          <w:szCs w:val="24"/>
        </w:rPr>
        <w:t>[computer-generated array of photographs]</w:t>
      </w:r>
      <w:r w:rsidR="00A3197D" w:rsidRPr="00240178">
        <w:rPr>
          <w:rFonts w:cs="Times New Roman"/>
          <w:szCs w:val="24"/>
        </w:rPr>
        <w:t xml:space="preserve">) </w:t>
      </w:r>
      <w:r w:rsidRPr="00240178">
        <w:rPr>
          <w:rFonts w:cs="Times New Roman"/>
          <w:szCs w:val="24"/>
        </w:rPr>
        <w:t xml:space="preserve">and </w:t>
      </w:r>
      <w:r w:rsidRPr="00240178">
        <w:rPr>
          <w:rFonts w:cs="Times New Roman"/>
          <w:i/>
          <w:iCs/>
          <w:szCs w:val="24"/>
        </w:rPr>
        <w:t>People v Simmons</w:t>
      </w:r>
      <w:r w:rsidRPr="00240178">
        <w:rPr>
          <w:rFonts w:cs="Times New Roman"/>
          <w:szCs w:val="24"/>
        </w:rPr>
        <w:t xml:space="preserve"> </w:t>
      </w:r>
      <w:r w:rsidR="00A3197D" w:rsidRPr="00240178">
        <w:rPr>
          <w:rFonts w:cs="Times New Roman"/>
          <w:szCs w:val="24"/>
        </w:rPr>
        <w:t>(</w:t>
      </w:r>
      <w:r w:rsidRPr="00240178">
        <w:rPr>
          <w:rFonts w:cs="Times New Roman"/>
          <w:szCs w:val="24"/>
        </w:rPr>
        <w:t>158 AD2d 950 [4th Dept 1990] [lineup photograph]</w:t>
      </w:r>
      <w:r w:rsidR="00A3197D" w:rsidRPr="00240178">
        <w:rPr>
          <w:rFonts w:cs="Times New Roman"/>
          <w:szCs w:val="24"/>
        </w:rPr>
        <w:t>)</w:t>
      </w:r>
      <w:r w:rsidRPr="00240178">
        <w:rPr>
          <w:rFonts w:cs="Times New Roman"/>
          <w:szCs w:val="24"/>
        </w:rPr>
        <w:t xml:space="preserve">, cited with approval by </w:t>
      </w:r>
      <w:r w:rsidRPr="00240178">
        <w:rPr>
          <w:rFonts w:cs="Times New Roman"/>
          <w:i/>
          <w:iCs/>
          <w:szCs w:val="24"/>
        </w:rPr>
        <w:t>Holley</w:t>
      </w:r>
      <w:r w:rsidRPr="00240178">
        <w:rPr>
          <w:rFonts w:cs="Times New Roman"/>
          <w:szCs w:val="24"/>
        </w:rPr>
        <w:t>.</w:t>
      </w:r>
      <w:r w:rsidR="0048286F" w:rsidRPr="00240178">
        <w:rPr>
          <w:rFonts w:cs="Times New Roman"/>
          <w:szCs w:val="24"/>
        </w:rPr>
        <w:t xml:space="preserve"> </w:t>
      </w:r>
      <w:r w:rsidRPr="00240178">
        <w:rPr>
          <w:rFonts w:cs="Times New Roman"/>
          <w:szCs w:val="24"/>
        </w:rPr>
        <w:t xml:space="preserve">As </w:t>
      </w:r>
      <w:r w:rsidRPr="00240178">
        <w:rPr>
          <w:rFonts w:cs="Times New Roman"/>
          <w:i/>
          <w:iCs/>
          <w:szCs w:val="24"/>
        </w:rPr>
        <w:t xml:space="preserve">Holley </w:t>
      </w:r>
      <w:r w:rsidRPr="00240178">
        <w:rPr>
          <w:rFonts w:cs="Times New Roman"/>
          <w:szCs w:val="24"/>
        </w:rPr>
        <w:t>explained:</w:t>
      </w:r>
    </w:p>
    <w:p w14:paraId="00F24342" w14:textId="77777777" w:rsidR="00387ECC" w:rsidRPr="00240178" w:rsidRDefault="00387ECC" w:rsidP="00240178">
      <w:pPr>
        <w:spacing w:line="240" w:lineRule="auto"/>
        <w:rPr>
          <w:rFonts w:cs="Times New Roman"/>
          <w:szCs w:val="24"/>
        </w:rPr>
      </w:pPr>
    </w:p>
    <w:p w14:paraId="1C837B91" w14:textId="77777777" w:rsidR="00D76DA9" w:rsidRPr="00240178" w:rsidRDefault="00387ECC" w:rsidP="00240178">
      <w:pPr>
        <w:spacing w:line="240" w:lineRule="auto"/>
        <w:ind w:left="720" w:right="720"/>
        <w:jc w:val="both"/>
        <w:rPr>
          <w:rFonts w:cs="Times New Roman"/>
          <w:szCs w:val="24"/>
        </w:rPr>
      </w:pPr>
      <w:r w:rsidRPr="00240178">
        <w:rPr>
          <w:rFonts w:cs="Times New Roman"/>
          <w:szCs w:val="24"/>
        </w:rPr>
        <w:t xml:space="preserve">“the People have the burden of producing evidence in support of the fairness of the identification procedure. If this burden is not sustained, a peremptory ruling against the People is justified. If the People meet their burden of production, the burden shifts to the defendant to persuade the hearing court that the procedure was improper. </w:t>
      </w:r>
      <w:r w:rsidR="00D76DA9" w:rsidRPr="00240178">
        <w:rPr>
          <w:rFonts w:cs="Times New Roman"/>
          <w:szCs w:val="24"/>
        </w:rPr>
        <w:t xml:space="preserve">. . . </w:t>
      </w:r>
    </w:p>
    <w:p w14:paraId="6C944A5E" w14:textId="3CBDBCC5" w:rsidR="00387ECC" w:rsidRPr="00240178" w:rsidRDefault="00D76DA9" w:rsidP="00240178">
      <w:pPr>
        <w:spacing w:line="240" w:lineRule="auto"/>
        <w:ind w:left="720" w:right="720"/>
        <w:jc w:val="both"/>
        <w:rPr>
          <w:rFonts w:cs="Times New Roman"/>
          <w:szCs w:val="24"/>
        </w:rPr>
      </w:pPr>
      <w:r w:rsidRPr="00240178">
        <w:rPr>
          <w:rFonts w:cs="Times New Roman"/>
          <w:szCs w:val="24"/>
        </w:rPr>
        <w:t>“[T]</w:t>
      </w:r>
      <w:r w:rsidR="00387ECC" w:rsidRPr="00240178">
        <w:rPr>
          <w:rFonts w:cs="Times New Roman"/>
          <w:szCs w:val="24"/>
        </w:rPr>
        <w:t>he</w:t>
      </w:r>
      <w:r w:rsidRPr="00240178">
        <w:rPr>
          <w:rFonts w:cs="Times New Roman"/>
          <w:szCs w:val="24"/>
        </w:rPr>
        <w:t xml:space="preserve"> </w:t>
      </w:r>
      <w:r w:rsidR="00387ECC" w:rsidRPr="00240178">
        <w:rPr>
          <w:rFonts w:cs="Times New Roman"/>
          <w:szCs w:val="24"/>
        </w:rPr>
        <w:t>failure of the police to preserve a photographic array [shown to an identifying witness] gives rise to a rebuttable presumption that the array was suggestive. The rebuttable presumption fits within the burden-shifting mechanism in the following manner. Failure to preserve a photo array creates a rebuttable presumption that the People have failed to meet their burden of going forward to establish the lack of suggestiveness. To the extent the People are silent about the nature of the photo array, they have not met their burden of production. On the other hand, the People may rebut the presumption by means of testimony detailing the procedures used to safeguard against suggestiveness, in which case they have met their burden, and the burden shifts to the defendant</w:t>
      </w:r>
      <w:r w:rsidR="0019664D">
        <w:rPr>
          <w:rFonts w:cs="Times New Roman"/>
          <w:szCs w:val="24"/>
        </w:rPr>
        <w:t>”</w:t>
      </w:r>
      <w:r w:rsidR="00387ECC" w:rsidRPr="00240178">
        <w:rPr>
          <w:rFonts w:cs="Times New Roman"/>
          <w:szCs w:val="24"/>
        </w:rPr>
        <w:t xml:space="preserve"> </w:t>
      </w:r>
      <w:r w:rsidR="00A3197D" w:rsidRPr="00240178">
        <w:rPr>
          <w:rFonts w:cs="Times New Roman"/>
          <w:szCs w:val="24"/>
        </w:rPr>
        <w:t>(</w:t>
      </w:r>
      <w:r w:rsidR="00387ECC" w:rsidRPr="00240178">
        <w:rPr>
          <w:rFonts w:cs="Times New Roman"/>
          <w:i/>
          <w:iCs/>
          <w:szCs w:val="24"/>
        </w:rPr>
        <w:t>Holley</w:t>
      </w:r>
      <w:r w:rsidR="00387ECC" w:rsidRPr="00240178">
        <w:rPr>
          <w:rFonts w:cs="Times New Roman"/>
          <w:szCs w:val="24"/>
        </w:rPr>
        <w:t xml:space="preserve"> at 521-</w:t>
      </w:r>
      <w:r w:rsidR="00A3197D" w:rsidRPr="00240178">
        <w:rPr>
          <w:rFonts w:cs="Times New Roman"/>
          <w:szCs w:val="24"/>
        </w:rPr>
        <w:t>5</w:t>
      </w:r>
      <w:r w:rsidR="00387ECC" w:rsidRPr="00240178">
        <w:rPr>
          <w:rFonts w:cs="Times New Roman"/>
          <w:szCs w:val="24"/>
        </w:rPr>
        <w:t xml:space="preserve">22 </w:t>
      </w:r>
      <w:r w:rsidR="00A3197D" w:rsidRPr="00240178">
        <w:rPr>
          <w:rFonts w:cs="Times New Roman"/>
          <w:szCs w:val="24"/>
        </w:rPr>
        <w:t>[</w:t>
      </w:r>
      <w:r w:rsidR="00582CF5" w:rsidRPr="00240178">
        <w:rPr>
          <w:rFonts w:cs="Times New Roman"/>
          <w:szCs w:val="24"/>
        </w:rPr>
        <w:t xml:space="preserve">internal </w:t>
      </w:r>
      <w:r w:rsidR="00387ECC" w:rsidRPr="00240178">
        <w:rPr>
          <w:rFonts w:cs="Times New Roman"/>
          <w:szCs w:val="24"/>
        </w:rPr>
        <w:t>quotation marks and citations omitted</w:t>
      </w:r>
      <w:r w:rsidR="00A3197D" w:rsidRPr="00240178">
        <w:rPr>
          <w:rFonts w:cs="Times New Roman"/>
          <w:szCs w:val="24"/>
        </w:rPr>
        <w:t>]</w:t>
      </w:r>
      <w:r w:rsidR="00387ECC" w:rsidRPr="00240178">
        <w:rPr>
          <w:rFonts w:cs="Times New Roman"/>
          <w:szCs w:val="24"/>
        </w:rPr>
        <w:t>).</w:t>
      </w:r>
    </w:p>
    <w:p w14:paraId="0FF5DA9C" w14:textId="77777777" w:rsidR="00387ECC" w:rsidRPr="00240178" w:rsidRDefault="00387ECC" w:rsidP="008F2771">
      <w:pPr>
        <w:spacing w:line="240" w:lineRule="auto"/>
        <w:ind w:left="0"/>
        <w:jc w:val="both"/>
        <w:rPr>
          <w:rFonts w:cs="Times New Roman"/>
          <w:szCs w:val="24"/>
        </w:rPr>
      </w:pPr>
    </w:p>
    <w:p w14:paraId="65D039DB" w14:textId="6C8E5919" w:rsidR="00387ECC" w:rsidRPr="00240178" w:rsidRDefault="00240178" w:rsidP="00240178">
      <w:pPr>
        <w:tabs>
          <w:tab w:val="left" w:pos="720"/>
        </w:tabs>
        <w:spacing w:line="240" w:lineRule="auto"/>
        <w:ind w:left="0" w:right="0"/>
        <w:jc w:val="both"/>
        <w:rPr>
          <w:rFonts w:cs="Times New Roman"/>
          <w:szCs w:val="24"/>
        </w:rPr>
      </w:pPr>
      <w:r>
        <w:rPr>
          <w:rFonts w:cs="Times New Roman"/>
          <w:i/>
          <w:iCs/>
          <w:szCs w:val="24"/>
        </w:rPr>
        <w:tab/>
      </w:r>
      <w:r w:rsidR="00387ECC" w:rsidRPr="00240178">
        <w:rPr>
          <w:rFonts w:cs="Times New Roman"/>
          <w:i/>
          <w:iCs/>
          <w:szCs w:val="24"/>
        </w:rPr>
        <w:t>Holley</w:t>
      </w:r>
      <w:r w:rsidR="00387ECC" w:rsidRPr="00240178">
        <w:rPr>
          <w:rFonts w:cs="Times New Roman"/>
          <w:szCs w:val="24"/>
        </w:rPr>
        <w:t xml:space="preserve"> noted that “Appellate Division cases have found that the People overcame the presumption when the detective</w:t>
      </w:r>
      <w:r w:rsidR="003331CD">
        <w:rPr>
          <w:rFonts w:cs="Times New Roman"/>
          <w:szCs w:val="24"/>
        </w:rPr>
        <w:t>’</w:t>
      </w:r>
      <w:r w:rsidR="00387ECC" w:rsidRPr="00240178">
        <w:rPr>
          <w:rFonts w:cs="Times New Roman"/>
          <w:szCs w:val="24"/>
        </w:rPr>
        <w:t xml:space="preserve">s testimony detailed </w:t>
      </w:r>
      <w:r w:rsidR="00582CF5" w:rsidRPr="00240178">
        <w:rPr>
          <w:rFonts w:cs="Times New Roman"/>
          <w:szCs w:val="24"/>
        </w:rPr>
        <w:t>‘</w:t>
      </w:r>
      <w:r w:rsidR="00387ECC" w:rsidRPr="00240178">
        <w:rPr>
          <w:rFonts w:cs="Times New Roman"/>
          <w:szCs w:val="24"/>
        </w:rPr>
        <w:t>the sheer volume of the photographs viewed, as well as the fact that the police had not yet focused upon defendant as a particular suspect</w:t>
      </w:r>
      <w:r w:rsidR="00582CF5" w:rsidRPr="00240178">
        <w:rPr>
          <w:rFonts w:cs="Times New Roman"/>
          <w:szCs w:val="24"/>
        </w:rPr>
        <w:t xml:space="preserve">’ </w:t>
      </w:r>
      <w:r w:rsidR="00387ECC" w:rsidRPr="00240178">
        <w:rPr>
          <w:rFonts w:cs="Times New Roman"/>
          <w:szCs w:val="24"/>
        </w:rPr>
        <w:t>” (</w:t>
      </w:r>
      <w:r w:rsidR="00387ECC" w:rsidRPr="00240178">
        <w:rPr>
          <w:rFonts w:cs="Times New Roman"/>
          <w:i/>
          <w:iCs/>
          <w:szCs w:val="24"/>
        </w:rPr>
        <w:t>Holley</w:t>
      </w:r>
      <w:r w:rsidR="00387ECC" w:rsidRPr="00240178">
        <w:rPr>
          <w:rFonts w:cs="Times New Roman"/>
          <w:szCs w:val="24"/>
        </w:rPr>
        <w:t xml:space="preserve"> at 524)</w:t>
      </w:r>
      <w:r w:rsidR="00582CF5" w:rsidRPr="00240178">
        <w:rPr>
          <w:rFonts w:cs="Times New Roman"/>
          <w:szCs w:val="24"/>
        </w:rPr>
        <w:t xml:space="preserve">. </w:t>
      </w:r>
      <w:r w:rsidR="00387ECC" w:rsidRPr="00240178">
        <w:rPr>
          <w:rFonts w:cs="Times New Roman"/>
          <w:szCs w:val="24"/>
        </w:rPr>
        <w:t xml:space="preserve">In the </w:t>
      </w:r>
      <w:r w:rsidR="00387ECC" w:rsidRPr="00240178">
        <w:rPr>
          <w:rFonts w:cs="Times New Roman"/>
          <w:i/>
          <w:iCs/>
          <w:szCs w:val="24"/>
        </w:rPr>
        <w:t>Holley</w:t>
      </w:r>
      <w:r w:rsidR="00387ECC" w:rsidRPr="00240178">
        <w:rPr>
          <w:rFonts w:cs="Times New Roman"/>
          <w:szCs w:val="24"/>
        </w:rPr>
        <w:t xml:space="preserve"> case itself, the Court found that the presumption was rebutted, there being support for </w:t>
      </w:r>
      <w:r w:rsidR="00387ECC" w:rsidRPr="00240178">
        <w:rPr>
          <w:rFonts w:cs="Times New Roman"/>
          <w:szCs w:val="24"/>
        </w:rPr>
        <w:lastRenderedPageBreak/>
        <w:t xml:space="preserve">the finding that the detective </w:t>
      </w:r>
      <w:r w:rsidR="00C15ABB" w:rsidRPr="00240178">
        <w:rPr>
          <w:rFonts w:cs="Times New Roman"/>
          <w:szCs w:val="24"/>
        </w:rPr>
        <w:t>“</w:t>
      </w:r>
      <w:r w:rsidR="00387ECC" w:rsidRPr="00240178">
        <w:rPr>
          <w:rFonts w:cs="Times New Roman"/>
          <w:szCs w:val="24"/>
        </w:rPr>
        <w:t>entered enough information about the perpetrator</w:t>
      </w:r>
      <w:r w:rsidR="003331CD">
        <w:rPr>
          <w:rFonts w:cs="Times New Roman"/>
          <w:szCs w:val="24"/>
        </w:rPr>
        <w:t>’</w:t>
      </w:r>
      <w:r w:rsidR="00387ECC" w:rsidRPr="00240178">
        <w:rPr>
          <w:rFonts w:cs="Times New Roman"/>
          <w:szCs w:val="24"/>
        </w:rPr>
        <w:t xml:space="preserve">s physical features to ensure that the photo manager system would generate </w:t>
      </w:r>
      <w:r w:rsidR="00C15ABB" w:rsidRPr="00240178">
        <w:rPr>
          <w:rFonts w:cs="Times New Roman"/>
          <w:szCs w:val="24"/>
        </w:rPr>
        <w:t>‘</w:t>
      </w:r>
      <w:r w:rsidR="00387ECC" w:rsidRPr="00240178">
        <w:rPr>
          <w:rFonts w:cs="Times New Roman"/>
          <w:szCs w:val="24"/>
        </w:rPr>
        <w:t>a fair selection of photos</w:t>
      </w:r>
      <w:r w:rsidR="00C15ABB" w:rsidRPr="00240178">
        <w:rPr>
          <w:rFonts w:cs="Times New Roman"/>
          <w:szCs w:val="24"/>
        </w:rPr>
        <w:t xml:space="preserve">,’ </w:t>
      </w:r>
      <w:r w:rsidR="00387ECC" w:rsidRPr="00240178">
        <w:rPr>
          <w:rFonts w:cs="Times New Roman"/>
          <w:szCs w:val="24"/>
        </w:rPr>
        <w:t>rather than an array in which defendant</w:t>
      </w:r>
      <w:r w:rsidR="003331CD">
        <w:rPr>
          <w:rFonts w:cs="Times New Roman"/>
          <w:szCs w:val="24"/>
        </w:rPr>
        <w:t>’</w:t>
      </w:r>
      <w:r w:rsidR="00387ECC" w:rsidRPr="00240178">
        <w:rPr>
          <w:rFonts w:cs="Times New Roman"/>
          <w:szCs w:val="24"/>
        </w:rPr>
        <w:t>s image would stand out as markedly different” (</w:t>
      </w:r>
      <w:r w:rsidR="00C15ABB" w:rsidRPr="00240178">
        <w:rPr>
          <w:rFonts w:cs="Times New Roman"/>
          <w:i/>
          <w:iCs/>
          <w:szCs w:val="24"/>
        </w:rPr>
        <w:t>Holley</w:t>
      </w:r>
      <w:r w:rsidR="00C15ABB" w:rsidRPr="00240178">
        <w:rPr>
          <w:rFonts w:cs="Times New Roman"/>
          <w:szCs w:val="24"/>
        </w:rPr>
        <w:t xml:space="preserve"> </w:t>
      </w:r>
      <w:r w:rsidR="00387ECC" w:rsidRPr="00240178">
        <w:rPr>
          <w:rFonts w:cs="Times New Roman"/>
          <w:szCs w:val="24"/>
        </w:rPr>
        <w:t>at 525</w:t>
      </w:r>
      <w:r w:rsidR="00C15ABB" w:rsidRPr="00240178">
        <w:rPr>
          <w:rFonts w:cs="Times New Roman"/>
          <w:szCs w:val="24"/>
        </w:rPr>
        <w:t xml:space="preserve">, quoting </w:t>
      </w:r>
      <w:r w:rsidR="00C15ABB" w:rsidRPr="00240178">
        <w:rPr>
          <w:rFonts w:cs="Times New Roman"/>
          <w:i/>
          <w:iCs/>
          <w:szCs w:val="24"/>
        </w:rPr>
        <w:t>People v Holley</w:t>
      </w:r>
      <w:r w:rsidR="00C15ABB" w:rsidRPr="00240178">
        <w:rPr>
          <w:rFonts w:cs="Times New Roman"/>
          <w:szCs w:val="24"/>
        </w:rPr>
        <w:t xml:space="preserve">, 116 AD3d 442, 442 [1st Dept 2014]; </w:t>
      </w:r>
      <w:r w:rsidR="00C15ABB" w:rsidRPr="00240178">
        <w:rPr>
          <w:rFonts w:cs="Times New Roman"/>
          <w:i/>
          <w:iCs/>
          <w:szCs w:val="24"/>
        </w:rPr>
        <w:t>s</w:t>
      </w:r>
      <w:r w:rsidR="00387ECC" w:rsidRPr="00240178">
        <w:rPr>
          <w:rFonts w:cs="Times New Roman"/>
          <w:i/>
          <w:iCs/>
          <w:szCs w:val="24"/>
        </w:rPr>
        <w:t>ee People v Busano</w:t>
      </w:r>
      <w:r w:rsidR="00387ECC" w:rsidRPr="00240178">
        <w:rPr>
          <w:rFonts w:cs="Times New Roman"/>
          <w:szCs w:val="24"/>
        </w:rPr>
        <w:t>, 141 AD3d 538, 540-</w:t>
      </w:r>
      <w:r w:rsidR="00C15ABB" w:rsidRPr="00240178">
        <w:rPr>
          <w:rFonts w:cs="Times New Roman"/>
          <w:szCs w:val="24"/>
        </w:rPr>
        <w:t>5</w:t>
      </w:r>
      <w:r w:rsidR="00387ECC" w:rsidRPr="00240178">
        <w:rPr>
          <w:rFonts w:cs="Times New Roman"/>
          <w:szCs w:val="24"/>
        </w:rPr>
        <w:t>41 [2d Dept 2016] [presumption was rebutted where the officer who administered the identification procedure testified that the “complainant</w:t>
      </w:r>
      <w:r w:rsidR="003331CD">
        <w:rPr>
          <w:rFonts w:cs="Times New Roman"/>
          <w:szCs w:val="24"/>
        </w:rPr>
        <w:t>’</w:t>
      </w:r>
      <w:r w:rsidR="00387ECC" w:rsidRPr="00240178">
        <w:rPr>
          <w:rFonts w:cs="Times New Roman"/>
          <w:szCs w:val="24"/>
        </w:rPr>
        <w:t>s daughter was shown computer-generated photo arrays shortly after the attack occurred. The officer further testified as to the specific information that was entered into the photo manager system, which included the perpetrator</w:t>
      </w:r>
      <w:r w:rsidR="003331CD">
        <w:rPr>
          <w:rFonts w:cs="Times New Roman"/>
          <w:szCs w:val="24"/>
        </w:rPr>
        <w:t>’</w:t>
      </w:r>
      <w:r w:rsidR="00387ECC" w:rsidRPr="00240178">
        <w:rPr>
          <w:rFonts w:cs="Times New Roman"/>
          <w:szCs w:val="24"/>
        </w:rPr>
        <w:t>s race and approximate age, height, and weight. The officer testified that approximately 230 photographs fit the search criteria that was entered into the photo manager system and that these photographs were displayed in arrays consisting of six photographs at a time” (citations omitted)];</w:t>
      </w:r>
      <w:r w:rsidR="00387ECC" w:rsidRPr="00240178">
        <w:rPr>
          <w:rFonts w:cs="Times New Roman"/>
          <w:i/>
          <w:iCs/>
          <w:szCs w:val="24"/>
        </w:rPr>
        <w:t xml:space="preserve"> </w:t>
      </w:r>
      <w:r w:rsidR="00387ECC" w:rsidRPr="00240178">
        <w:rPr>
          <w:rFonts w:eastAsia="Times New Roman" w:cs="Times New Roman"/>
          <w:i/>
          <w:iCs/>
          <w:color w:val="000000"/>
          <w:szCs w:val="24"/>
        </w:rPr>
        <w:t>People v Brennan</w:t>
      </w:r>
      <w:r w:rsidR="00387ECC" w:rsidRPr="00240178">
        <w:rPr>
          <w:rFonts w:eastAsia="Times New Roman" w:cs="Times New Roman"/>
          <w:color w:val="000000"/>
          <w:szCs w:val="24"/>
        </w:rPr>
        <w:t>, 222 AD2d 445, 445 [2d Dept 1995] [presumption of suggestiveness from the failure to preserve a photograph of a lineup was rebutted where “photographs of the lineup fillers were taken approximately 10 months after the original lineup was held, and the police officer who was present at the lineup testified about the height and weight of the fillers, whether they had gained or lost any weight between the lineup and the reconstruction, and their positions in the lineup”]</w:t>
      </w:r>
      <w:r w:rsidR="00554870" w:rsidRPr="00240178">
        <w:rPr>
          <w:rFonts w:eastAsia="Times New Roman" w:cs="Times New Roman"/>
          <w:color w:val="000000"/>
          <w:szCs w:val="24"/>
        </w:rPr>
        <w:t>)</w:t>
      </w:r>
      <w:r w:rsidR="00387ECC" w:rsidRPr="00240178">
        <w:rPr>
          <w:rFonts w:eastAsia="Times New Roman" w:cs="Times New Roman"/>
          <w:color w:val="000000"/>
          <w:szCs w:val="24"/>
        </w:rPr>
        <w:t>.</w:t>
      </w:r>
    </w:p>
    <w:p w14:paraId="004886B1" w14:textId="77777777" w:rsidR="00387ECC" w:rsidRPr="00240178" w:rsidRDefault="00387ECC" w:rsidP="00240178">
      <w:pPr>
        <w:spacing w:line="240" w:lineRule="auto"/>
        <w:ind w:left="0"/>
        <w:jc w:val="both"/>
        <w:rPr>
          <w:rFonts w:cs="Times New Roman"/>
          <w:szCs w:val="24"/>
        </w:rPr>
      </w:pPr>
    </w:p>
    <w:p w14:paraId="7963D8A3" w14:textId="54BB424E" w:rsidR="00387ECC" w:rsidRPr="00240178" w:rsidRDefault="00387ECC" w:rsidP="00240178">
      <w:pPr>
        <w:autoSpaceDE w:val="0"/>
        <w:autoSpaceDN w:val="0"/>
        <w:adjustRightInd w:val="0"/>
        <w:snapToGrid w:val="0"/>
        <w:spacing w:line="240" w:lineRule="auto"/>
        <w:ind w:left="0" w:right="0"/>
        <w:jc w:val="both"/>
        <w:rPr>
          <w:rFonts w:eastAsia="Times New Roman" w:cs="Times New Roman"/>
          <w:color w:val="000000"/>
          <w:szCs w:val="24"/>
        </w:rPr>
      </w:pPr>
      <w:r w:rsidRPr="00240178">
        <w:rPr>
          <w:rFonts w:cs="Times New Roman"/>
          <w:szCs w:val="24"/>
        </w:rPr>
        <w:tab/>
      </w:r>
      <w:r w:rsidRPr="00240178">
        <w:rPr>
          <w:rFonts w:cs="Times New Roman"/>
          <w:b/>
          <w:bCs/>
          <w:szCs w:val="24"/>
        </w:rPr>
        <w:t>Subdivision (3)</w:t>
      </w:r>
      <w:r w:rsidRPr="00240178">
        <w:rPr>
          <w:rFonts w:cs="Times New Roman"/>
          <w:szCs w:val="24"/>
        </w:rPr>
        <w:t xml:space="preserve"> is derived from </w:t>
      </w:r>
      <w:r w:rsidRPr="00240178">
        <w:rPr>
          <w:rFonts w:cs="Times New Roman"/>
          <w:i/>
          <w:iCs/>
          <w:szCs w:val="24"/>
        </w:rPr>
        <w:t>People v Flowers</w:t>
      </w:r>
      <w:r w:rsidRPr="00240178">
        <w:rPr>
          <w:rFonts w:cs="Times New Roman"/>
          <w:szCs w:val="24"/>
        </w:rPr>
        <w:t xml:space="preserve"> </w:t>
      </w:r>
      <w:r w:rsidR="00554870" w:rsidRPr="00240178">
        <w:rPr>
          <w:rFonts w:cs="Times New Roman"/>
          <w:szCs w:val="24"/>
        </w:rPr>
        <w:t>(</w:t>
      </w:r>
      <w:r w:rsidRPr="00240178">
        <w:rPr>
          <w:rFonts w:cs="Times New Roman"/>
          <w:szCs w:val="24"/>
        </w:rPr>
        <w:t>28 NY3d 536 [2016]</w:t>
      </w:r>
      <w:r w:rsidR="00554870" w:rsidRPr="00240178">
        <w:rPr>
          <w:rFonts w:cs="Times New Roman"/>
          <w:szCs w:val="24"/>
        </w:rPr>
        <w:t xml:space="preserve">), </w:t>
      </w:r>
      <w:r w:rsidRPr="00240178">
        <w:rPr>
          <w:rFonts w:eastAsia="Times New Roman" w:cs="Times New Roman"/>
          <w:i/>
          <w:color w:val="000000"/>
          <w:szCs w:val="24"/>
          <w:lang w:val="x-none"/>
        </w:rPr>
        <w:t>People v Young</w:t>
      </w:r>
      <w:r w:rsidRPr="00240178">
        <w:rPr>
          <w:rFonts w:eastAsia="Times New Roman" w:cs="Times New Roman"/>
          <w:color w:val="000000"/>
          <w:szCs w:val="24"/>
          <w:lang w:val="x-none"/>
        </w:rPr>
        <w:t xml:space="preserve"> </w:t>
      </w:r>
      <w:r w:rsidR="00554870" w:rsidRPr="00240178">
        <w:rPr>
          <w:rFonts w:eastAsia="Times New Roman" w:cs="Times New Roman"/>
          <w:color w:val="000000"/>
          <w:szCs w:val="24"/>
        </w:rPr>
        <w:t>(</w:t>
      </w:r>
      <w:r w:rsidRPr="00240178">
        <w:rPr>
          <w:rFonts w:eastAsia="Times New Roman" w:cs="Times New Roman"/>
          <w:color w:val="000000"/>
          <w:szCs w:val="24"/>
          <w:lang w:val="x-none"/>
        </w:rPr>
        <w:t>94 NY2d 171</w:t>
      </w:r>
      <w:r w:rsidRPr="00240178">
        <w:rPr>
          <w:rFonts w:eastAsia="Times New Roman" w:cs="Times New Roman"/>
          <w:color w:val="000000"/>
          <w:szCs w:val="24"/>
        </w:rPr>
        <w:t xml:space="preserve"> [</w:t>
      </w:r>
      <w:r w:rsidRPr="00240178">
        <w:rPr>
          <w:rFonts w:eastAsia="Times New Roman" w:cs="Times New Roman"/>
          <w:color w:val="000000"/>
          <w:szCs w:val="24"/>
          <w:lang w:val="x-none"/>
        </w:rPr>
        <w:t>1999</w:t>
      </w:r>
      <w:r w:rsidRPr="00240178">
        <w:rPr>
          <w:rFonts w:eastAsia="Times New Roman" w:cs="Times New Roman"/>
          <w:color w:val="000000"/>
          <w:szCs w:val="24"/>
        </w:rPr>
        <w:t>]</w:t>
      </w:r>
      <w:r w:rsidR="00554870" w:rsidRPr="00240178">
        <w:rPr>
          <w:rFonts w:eastAsia="Times New Roman" w:cs="Times New Roman"/>
          <w:color w:val="000000"/>
          <w:szCs w:val="24"/>
        </w:rPr>
        <w:t xml:space="preserve">) </w:t>
      </w:r>
      <w:r w:rsidRPr="00240178">
        <w:rPr>
          <w:rFonts w:eastAsia="Times New Roman" w:cs="Times New Roman"/>
          <w:color w:val="000000"/>
          <w:szCs w:val="24"/>
        </w:rPr>
        <w:t xml:space="preserve">and </w:t>
      </w:r>
      <w:r w:rsidRPr="00240178">
        <w:rPr>
          <w:rFonts w:eastAsia="Times New Roman" w:cs="Times New Roman"/>
          <w:i/>
          <w:color w:val="000000"/>
          <w:szCs w:val="24"/>
          <w:lang w:val="x-none"/>
        </w:rPr>
        <w:t>People</w:t>
      </w:r>
      <w:r w:rsidRPr="00240178">
        <w:rPr>
          <w:rFonts w:eastAsia="Times New Roman" w:cs="Times New Roman"/>
          <w:i/>
          <w:color w:val="000000"/>
          <w:szCs w:val="24"/>
        </w:rPr>
        <w:t xml:space="preserve"> </w:t>
      </w:r>
      <w:r w:rsidRPr="00240178">
        <w:rPr>
          <w:rFonts w:eastAsia="Times New Roman" w:cs="Times New Roman"/>
          <w:i/>
          <w:color w:val="000000"/>
          <w:szCs w:val="24"/>
          <w:lang w:val="x-none"/>
        </w:rPr>
        <w:t>v Van Pelt</w:t>
      </w:r>
      <w:r w:rsidRPr="00240178">
        <w:rPr>
          <w:rFonts w:eastAsia="Times New Roman" w:cs="Times New Roman"/>
          <w:color w:val="000000"/>
          <w:szCs w:val="24"/>
          <w:lang w:val="x-none"/>
        </w:rPr>
        <w:t xml:space="preserve"> </w:t>
      </w:r>
      <w:r w:rsidR="00554870" w:rsidRPr="00240178">
        <w:rPr>
          <w:rFonts w:eastAsia="Times New Roman" w:cs="Times New Roman"/>
          <w:color w:val="000000"/>
          <w:szCs w:val="24"/>
        </w:rPr>
        <w:t>(</w:t>
      </w:r>
      <w:r w:rsidRPr="00240178">
        <w:rPr>
          <w:rFonts w:eastAsia="Times New Roman" w:cs="Times New Roman"/>
          <w:color w:val="000000"/>
          <w:szCs w:val="24"/>
          <w:lang w:val="x-none"/>
        </w:rPr>
        <w:t>76 NY2d 156</w:t>
      </w:r>
      <w:r w:rsidRPr="00240178">
        <w:rPr>
          <w:rFonts w:eastAsia="Times New Roman" w:cs="Times New Roman"/>
          <w:color w:val="000000"/>
          <w:szCs w:val="24"/>
        </w:rPr>
        <w:t xml:space="preserve"> [</w:t>
      </w:r>
      <w:r w:rsidRPr="00240178">
        <w:rPr>
          <w:rFonts w:eastAsia="Times New Roman" w:cs="Times New Roman"/>
          <w:color w:val="000000"/>
          <w:szCs w:val="24"/>
          <w:lang w:val="x-none"/>
        </w:rPr>
        <w:t>1990</w:t>
      </w:r>
      <w:r w:rsidRPr="00240178">
        <w:rPr>
          <w:rFonts w:eastAsia="Times New Roman" w:cs="Times New Roman"/>
          <w:color w:val="000000"/>
          <w:szCs w:val="24"/>
        </w:rPr>
        <w:t>]</w:t>
      </w:r>
      <w:r w:rsidR="00554870" w:rsidRPr="00240178">
        <w:rPr>
          <w:rFonts w:eastAsia="Times New Roman" w:cs="Times New Roman"/>
          <w:color w:val="000000"/>
          <w:szCs w:val="24"/>
        </w:rPr>
        <w:t>)</w:t>
      </w:r>
      <w:r w:rsidRPr="00240178">
        <w:rPr>
          <w:rFonts w:eastAsia="Times New Roman" w:cs="Times New Roman"/>
          <w:color w:val="000000"/>
          <w:szCs w:val="24"/>
        </w:rPr>
        <w:t xml:space="preserve">. The rule has its origins in the Federal </w:t>
      </w:r>
      <w:r w:rsidR="00554870" w:rsidRPr="00240178">
        <w:rPr>
          <w:rFonts w:eastAsia="Times New Roman" w:cs="Times New Roman"/>
          <w:color w:val="000000"/>
          <w:szCs w:val="24"/>
        </w:rPr>
        <w:t>C</w:t>
      </w:r>
      <w:r w:rsidRPr="00240178">
        <w:rPr>
          <w:rFonts w:eastAsia="Times New Roman" w:cs="Times New Roman"/>
          <w:color w:val="000000"/>
          <w:szCs w:val="24"/>
        </w:rPr>
        <w:t>onstitution</w:t>
      </w:r>
      <w:r w:rsidR="00554870" w:rsidRPr="00240178">
        <w:rPr>
          <w:rFonts w:eastAsia="Times New Roman" w:cs="Times New Roman"/>
          <w:color w:val="000000"/>
          <w:szCs w:val="24"/>
        </w:rPr>
        <w:t xml:space="preserve"> </w:t>
      </w:r>
      <w:r w:rsidRPr="00240178">
        <w:rPr>
          <w:rFonts w:eastAsia="Times New Roman" w:cs="Times New Roman"/>
          <w:color w:val="000000"/>
          <w:szCs w:val="24"/>
        </w:rPr>
        <w:t>(</w:t>
      </w:r>
      <w:r w:rsidRPr="00240178">
        <w:rPr>
          <w:rFonts w:cs="Times New Roman"/>
          <w:i/>
          <w:iCs/>
          <w:szCs w:val="24"/>
        </w:rPr>
        <w:t>North Carolina v Pearce</w:t>
      </w:r>
      <w:r w:rsidR="00554870" w:rsidRPr="00240178">
        <w:rPr>
          <w:rFonts w:cs="Times New Roman"/>
          <w:szCs w:val="24"/>
        </w:rPr>
        <w:t xml:space="preserve">, </w:t>
      </w:r>
      <w:bookmarkStart w:id="1" w:name="_Hlk71634474"/>
      <w:r w:rsidRPr="00240178">
        <w:rPr>
          <w:rFonts w:cs="Times New Roman"/>
          <w:szCs w:val="24"/>
        </w:rPr>
        <w:t xml:space="preserve">395 US 711 </w:t>
      </w:r>
      <w:bookmarkEnd w:id="1"/>
      <w:r w:rsidRPr="00240178">
        <w:rPr>
          <w:rFonts w:cs="Times New Roman"/>
          <w:szCs w:val="24"/>
        </w:rPr>
        <w:t>[1969]).</w:t>
      </w:r>
    </w:p>
    <w:p w14:paraId="067AE918" w14:textId="77777777" w:rsidR="00387ECC" w:rsidRPr="00240178" w:rsidRDefault="00387ECC" w:rsidP="00240178">
      <w:pPr>
        <w:autoSpaceDE w:val="0"/>
        <w:autoSpaceDN w:val="0"/>
        <w:adjustRightInd w:val="0"/>
        <w:snapToGrid w:val="0"/>
        <w:spacing w:line="240" w:lineRule="auto"/>
        <w:ind w:left="0" w:right="0"/>
        <w:jc w:val="both"/>
        <w:rPr>
          <w:rFonts w:eastAsia="Times New Roman" w:cs="Times New Roman"/>
          <w:color w:val="000000"/>
          <w:szCs w:val="24"/>
        </w:rPr>
      </w:pPr>
    </w:p>
    <w:p w14:paraId="344CF398" w14:textId="5A550086" w:rsidR="00387ECC" w:rsidRPr="00240178" w:rsidRDefault="00240178" w:rsidP="00240178">
      <w:pPr>
        <w:tabs>
          <w:tab w:val="left" w:pos="720"/>
        </w:tabs>
        <w:spacing w:line="240" w:lineRule="auto"/>
        <w:ind w:left="0" w:right="0"/>
        <w:jc w:val="both"/>
        <w:rPr>
          <w:rFonts w:cs="Times New Roman"/>
          <w:szCs w:val="24"/>
        </w:rPr>
      </w:pPr>
      <w:r>
        <w:rPr>
          <w:rFonts w:cs="Times New Roman"/>
          <w:szCs w:val="24"/>
        </w:rPr>
        <w:tab/>
      </w:r>
      <w:r w:rsidR="00387ECC" w:rsidRPr="00240178">
        <w:rPr>
          <w:rFonts w:cs="Times New Roman"/>
          <w:szCs w:val="24"/>
        </w:rPr>
        <w:t xml:space="preserve">The presumption was designed “to insure that trial courts do not impose longer sentences to punish defendants for taking an appeal” </w:t>
      </w:r>
      <w:r w:rsidR="00554870" w:rsidRPr="00240178">
        <w:rPr>
          <w:rFonts w:cs="Times New Roman"/>
          <w:szCs w:val="24"/>
        </w:rPr>
        <w:t>(</w:t>
      </w:r>
      <w:r w:rsidR="00387ECC" w:rsidRPr="00240178">
        <w:rPr>
          <w:rFonts w:cs="Times New Roman"/>
          <w:i/>
          <w:iCs/>
          <w:szCs w:val="24"/>
        </w:rPr>
        <w:t>Young</w:t>
      </w:r>
      <w:r w:rsidR="00387ECC" w:rsidRPr="00240178">
        <w:rPr>
          <w:rFonts w:cs="Times New Roman"/>
          <w:szCs w:val="24"/>
        </w:rPr>
        <w:t>, 94 NY2d at 176</w:t>
      </w:r>
      <w:r w:rsidR="00554870" w:rsidRPr="00240178">
        <w:rPr>
          <w:rFonts w:cs="Times New Roman"/>
          <w:szCs w:val="24"/>
        </w:rPr>
        <w:t>)</w:t>
      </w:r>
      <w:r w:rsidR="00387ECC" w:rsidRPr="00240178">
        <w:rPr>
          <w:rFonts w:cs="Times New Roman"/>
          <w:szCs w:val="24"/>
        </w:rPr>
        <w:t xml:space="preserve">.  </w:t>
      </w:r>
      <w:r w:rsidR="00387ECC" w:rsidRPr="00240178">
        <w:rPr>
          <w:rFonts w:eastAsia="Times New Roman" w:cs="Times New Roman"/>
          <w:color w:val="000000"/>
          <w:szCs w:val="24"/>
        </w:rPr>
        <w:t xml:space="preserve">As summarized by </w:t>
      </w:r>
      <w:r w:rsidR="00387ECC" w:rsidRPr="00240178">
        <w:rPr>
          <w:rFonts w:eastAsia="Times New Roman" w:cs="Times New Roman"/>
          <w:i/>
          <w:iCs/>
          <w:color w:val="000000"/>
          <w:szCs w:val="24"/>
        </w:rPr>
        <w:t>Flowers</w:t>
      </w:r>
      <w:r w:rsidR="00387ECC" w:rsidRPr="00240178">
        <w:rPr>
          <w:rFonts w:eastAsia="Times New Roman" w:cs="Times New Roman"/>
          <w:color w:val="000000"/>
          <w:szCs w:val="24"/>
        </w:rPr>
        <w:t>, “</w:t>
      </w:r>
      <w:r w:rsidR="00387ECC" w:rsidRPr="00240178">
        <w:rPr>
          <w:rFonts w:cs="Times New Roman"/>
          <w:szCs w:val="24"/>
        </w:rPr>
        <w:t xml:space="preserve">the presumption of vindictiveness applies only to ‘defendants who have won appellate reversals’ who are ‘given </w:t>
      </w:r>
      <w:r w:rsidR="00387ECC" w:rsidRPr="00240178">
        <w:rPr>
          <w:rFonts w:cs="Times New Roman"/>
          <w:i/>
          <w:iCs/>
          <w:szCs w:val="24"/>
        </w:rPr>
        <w:t>greater</w:t>
      </w:r>
      <w:r w:rsidR="00387ECC" w:rsidRPr="00240178">
        <w:rPr>
          <w:rFonts w:cs="Times New Roman"/>
          <w:szCs w:val="24"/>
        </w:rPr>
        <w:t xml:space="preserve"> sentences . . . than were imposed after their initial convictions’ (</w:t>
      </w:r>
      <w:r w:rsidR="00387ECC" w:rsidRPr="00240178">
        <w:rPr>
          <w:rFonts w:cs="Times New Roman"/>
          <w:i/>
          <w:iCs/>
          <w:szCs w:val="24"/>
        </w:rPr>
        <w:t>People v Young</w:t>
      </w:r>
      <w:r w:rsidR="00387ECC" w:rsidRPr="00240178">
        <w:rPr>
          <w:rFonts w:cs="Times New Roman"/>
          <w:szCs w:val="24"/>
        </w:rPr>
        <w:t xml:space="preserve">, 94 NY2d 171, 176 [1999] </w:t>
      </w:r>
      <w:r w:rsidR="00554870" w:rsidRPr="00240178">
        <w:rPr>
          <w:rFonts w:cs="Times New Roman"/>
          <w:szCs w:val="24"/>
        </w:rPr>
        <w:t>[emphasis added]</w:t>
      </w:r>
      <w:r w:rsidR="00387ECC" w:rsidRPr="00240178">
        <w:rPr>
          <w:rFonts w:cs="Times New Roman"/>
          <w:szCs w:val="24"/>
        </w:rPr>
        <w:t>). The presumption is inapplicable where, as here, the same term of imprisonment is imposed upon resentencing” (</w:t>
      </w:r>
      <w:bookmarkStart w:id="2" w:name="_Hlk59363778"/>
      <w:r w:rsidR="00387ECC" w:rsidRPr="00240178">
        <w:rPr>
          <w:rFonts w:cs="Times New Roman"/>
          <w:i/>
          <w:iCs/>
          <w:szCs w:val="24"/>
        </w:rPr>
        <w:t>Flowers</w:t>
      </w:r>
      <w:r w:rsidR="00387ECC" w:rsidRPr="00240178">
        <w:rPr>
          <w:rFonts w:cs="Times New Roman"/>
          <w:szCs w:val="24"/>
        </w:rPr>
        <w:t>, 28 NY3d at 541-</w:t>
      </w:r>
      <w:r w:rsidR="00554870" w:rsidRPr="00240178">
        <w:rPr>
          <w:rFonts w:cs="Times New Roman"/>
          <w:szCs w:val="24"/>
        </w:rPr>
        <w:t>5</w:t>
      </w:r>
      <w:r w:rsidR="00387ECC" w:rsidRPr="00240178">
        <w:rPr>
          <w:rFonts w:cs="Times New Roman"/>
          <w:szCs w:val="24"/>
        </w:rPr>
        <w:t>42)</w:t>
      </w:r>
      <w:r w:rsidR="00554870" w:rsidRPr="00240178">
        <w:rPr>
          <w:rFonts w:cs="Times New Roman"/>
          <w:szCs w:val="24"/>
        </w:rPr>
        <w:t>.</w:t>
      </w:r>
    </w:p>
    <w:p w14:paraId="0729D8B4" w14:textId="77777777" w:rsidR="00387ECC" w:rsidRPr="00240178" w:rsidRDefault="00387ECC" w:rsidP="00240178">
      <w:pPr>
        <w:autoSpaceDE w:val="0"/>
        <w:autoSpaceDN w:val="0"/>
        <w:adjustRightInd w:val="0"/>
        <w:snapToGrid w:val="0"/>
        <w:spacing w:line="240" w:lineRule="auto"/>
        <w:ind w:left="0" w:right="0"/>
        <w:jc w:val="both"/>
        <w:rPr>
          <w:rFonts w:cs="Times New Roman"/>
          <w:szCs w:val="24"/>
        </w:rPr>
      </w:pPr>
    </w:p>
    <w:p w14:paraId="6B6B13A1" w14:textId="41A4F77D" w:rsidR="00387ECC" w:rsidRPr="00240178" w:rsidRDefault="00240178" w:rsidP="00240178">
      <w:pPr>
        <w:tabs>
          <w:tab w:val="left" w:pos="720"/>
        </w:tabs>
        <w:autoSpaceDE w:val="0"/>
        <w:autoSpaceDN w:val="0"/>
        <w:adjustRightInd w:val="0"/>
        <w:snapToGrid w:val="0"/>
        <w:spacing w:line="240" w:lineRule="auto"/>
        <w:ind w:left="0" w:right="0"/>
        <w:jc w:val="both"/>
        <w:rPr>
          <w:rFonts w:cs="Times New Roman"/>
          <w:szCs w:val="24"/>
        </w:rPr>
      </w:pPr>
      <w:bookmarkStart w:id="3" w:name="_Hlk70693069"/>
      <w:r>
        <w:rPr>
          <w:rFonts w:cs="Times New Roman"/>
          <w:szCs w:val="24"/>
        </w:rPr>
        <w:tab/>
      </w:r>
      <w:r w:rsidR="00387ECC" w:rsidRPr="00240178">
        <w:rPr>
          <w:rFonts w:cs="Times New Roman"/>
          <w:szCs w:val="24"/>
        </w:rPr>
        <w:t xml:space="preserve">The presumption may be rebutted </w:t>
      </w:r>
      <w:r w:rsidR="00554870" w:rsidRPr="00240178">
        <w:rPr>
          <w:rFonts w:cs="Times New Roman"/>
          <w:szCs w:val="24"/>
        </w:rPr>
        <w:t>(</w:t>
      </w:r>
      <w:r w:rsidR="00387ECC" w:rsidRPr="00240178">
        <w:rPr>
          <w:rFonts w:cs="Times New Roman"/>
          <w:i/>
          <w:iCs/>
          <w:szCs w:val="24"/>
        </w:rPr>
        <w:t>People v Young</w:t>
      </w:r>
      <w:r w:rsidR="00387ECC" w:rsidRPr="00240178">
        <w:rPr>
          <w:rFonts w:cs="Times New Roman"/>
          <w:szCs w:val="24"/>
        </w:rPr>
        <w:t>, 94 NY2d at 182 [“Once the presumption arises, it can be rebutted only if the trial court identifies reasons ‘based on objective information concerning identifiable conduct on the part of the defendant occurring after the time of the original sentencing proceeding’</w:t>
      </w:r>
      <w:r w:rsidR="00042F22" w:rsidRPr="00240178">
        <w:rPr>
          <w:rFonts w:cs="Times New Roman"/>
          <w:szCs w:val="24"/>
        </w:rPr>
        <w:t xml:space="preserve"> </w:t>
      </w:r>
      <w:bookmarkEnd w:id="3"/>
      <w:r w:rsidR="00387ECC" w:rsidRPr="00240178">
        <w:rPr>
          <w:rFonts w:cs="Times New Roman"/>
          <w:szCs w:val="24"/>
        </w:rPr>
        <w:t>(</w:t>
      </w:r>
      <w:r w:rsidR="00387ECC" w:rsidRPr="00240178">
        <w:rPr>
          <w:rFonts w:cs="Times New Roman"/>
          <w:i/>
          <w:iCs/>
          <w:szCs w:val="24"/>
        </w:rPr>
        <w:t>North Carolina v Pearce, supra,</w:t>
      </w:r>
      <w:r w:rsidR="00387ECC" w:rsidRPr="00240178">
        <w:rPr>
          <w:rFonts w:cs="Times New Roman"/>
          <w:szCs w:val="24"/>
        </w:rPr>
        <w:t xml:space="preserve"> 395 US, at 726</w:t>
      </w:r>
      <w:r w:rsidR="00042F22" w:rsidRPr="00240178">
        <w:rPr>
          <w:rFonts w:cs="Times New Roman"/>
          <w:szCs w:val="24"/>
        </w:rPr>
        <w:t>)”</w:t>
      </w:r>
      <w:r w:rsidR="00387ECC" w:rsidRPr="00240178">
        <w:rPr>
          <w:rFonts w:cs="Times New Roman"/>
          <w:szCs w:val="24"/>
        </w:rPr>
        <w:t xml:space="preserve">]; </w:t>
      </w:r>
      <w:r w:rsidR="00042F22" w:rsidRPr="00240178">
        <w:rPr>
          <w:rFonts w:cs="Times New Roman"/>
          <w:i/>
          <w:iCs/>
          <w:szCs w:val="24"/>
        </w:rPr>
        <w:t xml:space="preserve">People v </w:t>
      </w:r>
      <w:r w:rsidR="00387ECC" w:rsidRPr="00240178">
        <w:rPr>
          <w:rFonts w:cs="Times New Roman"/>
          <w:i/>
          <w:iCs/>
          <w:szCs w:val="24"/>
        </w:rPr>
        <w:t>Miller</w:t>
      </w:r>
      <w:r w:rsidR="00387ECC" w:rsidRPr="00240178">
        <w:rPr>
          <w:rFonts w:cs="Times New Roman"/>
          <w:szCs w:val="24"/>
        </w:rPr>
        <w:t xml:space="preserve">, 65 NY2d </w:t>
      </w:r>
      <w:r w:rsidR="00042F22" w:rsidRPr="00240178">
        <w:rPr>
          <w:rFonts w:cs="Times New Roman"/>
          <w:szCs w:val="24"/>
        </w:rPr>
        <w:t xml:space="preserve">502, </w:t>
      </w:r>
      <w:r w:rsidR="00387ECC" w:rsidRPr="00240178">
        <w:rPr>
          <w:rFonts w:cs="Times New Roman"/>
          <w:szCs w:val="24"/>
        </w:rPr>
        <w:t>508</w:t>
      </w:r>
      <w:r w:rsidR="00042F22" w:rsidRPr="00240178">
        <w:rPr>
          <w:rFonts w:cs="Times New Roman"/>
          <w:szCs w:val="24"/>
        </w:rPr>
        <w:t xml:space="preserve"> [1985] </w:t>
      </w:r>
      <w:r w:rsidR="00387ECC" w:rsidRPr="00240178">
        <w:rPr>
          <w:rFonts w:cs="Times New Roman"/>
          <w:szCs w:val="24"/>
        </w:rPr>
        <w:t>[the presumption “may be overcome by evidence that the higher sentence rests upon a legitimate and reasoned basis”]</w:t>
      </w:r>
      <w:r w:rsidR="00042F22" w:rsidRPr="00240178">
        <w:rPr>
          <w:rFonts w:cs="Times New Roman"/>
          <w:szCs w:val="24"/>
        </w:rPr>
        <w:t xml:space="preserve">; </w:t>
      </w:r>
      <w:r w:rsidR="00042F22" w:rsidRPr="00240178">
        <w:rPr>
          <w:rFonts w:cs="Times New Roman"/>
          <w:i/>
          <w:iCs/>
          <w:szCs w:val="24"/>
        </w:rPr>
        <w:t>e</w:t>
      </w:r>
      <w:r w:rsidR="00387ECC" w:rsidRPr="00240178">
        <w:rPr>
          <w:rFonts w:cs="Times New Roman"/>
          <w:i/>
          <w:iCs/>
          <w:szCs w:val="24"/>
        </w:rPr>
        <w:t>.g. People v Bludson</w:t>
      </w:r>
      <w:r w:rsidR="00387ECC" w:rsidRPr="00240178">
        <w:rPr>
          <w:rFonts w:cs="Times New Roman"/>
          <w:szCs w:val="24"/>
        </w:rPr>
        <w:t>, 15 AD3d 912, 913 [4th Dept 2005] [</w:t>
      </w:r>
      <w:r w:rsidR="0019664D">
        <w:rPr>
          <w:rFonts w:cs="Times New Roman"/>
          <w:szCs w:val="24"/>
        </w:rPr>
        <w:t>“</w:t>
      </w:r>
      <w:r w:rsidR="00387ECC" w:rsidRPr="00240178">
        <w:rPr>
          <w:rFonts w:cs="Times New Roman"/>
          <w:szCs w:val="24"/>
        </w:rPr>
        <w:t>The retrial and sentencing thereon were before a different justice and, in enhancing defendant</w:t>
      </w:r>
      <w:r w:rsidR="003331CD">
        <w:rPr>
          <w:rFonts w:cs="Times New Roman"/>
          <w:szCs w:val="24"/>
        </w:rPr>
        <w:t>’</w:t>
      </w:r>
      <w:r w:rsidR="00387ECC" w:rsidRPr="00240178">
        <w:rPr>
          <w:rFonts w:cs="Times New Roman"/>
          <w:szCs w:val="24"/>
        </w:rPr>
        <w:t>s sentence following the retrial, the court noted that it was doing so because, in the court</w:t>
      </w:r>
      <w:r w:rsidR="003331CD">
        <w:rPr>
          <w:rFonts w:cs="Times New Roman"/>
          <w:szCs w:val="24"/>
        </w:rPr>
        <w:t>’</w:t>
      </w:r>
      <w:r w:rsidR="00387ECC" w:rsidRPr="00240178">
        <w:rPr>
          <w:rFonts w:cs="Times New Roman"/>
          <w:szCs w:val="24"/>
        </w:rPr>
        <w:t>s view, defendant had committed perjury at the retrial. Thus, the record before us does not support defendant</w:t>
      </w:r>
      <w:r w:rsidR="003331CD">
        <w:rPr>
          <w:rFonts w:cs="Times New Roman"/>
          <w:szCs w:val="24"/>
        </w:rPr>
        <w:t>’</w:t>
      </w:r>
      <w:r w:rsidR="00387ECC" w:rsidRPr="00240178">
        <w:rPr>
          <w:rFonts w:cs="Times New Roman"/>
          <w:szCs w:val="24"/>
        </w:rPr>
        <w:t xml:space="preserve">s contention </w:t>
      </w:r>
      <w:r w:rsidR="00387ECC" w:rsidRPr="00240178">
        <w:rPr>
          <w:rFonts w:cs="Times New Roman"/>
          <w:szCs w:val="24"/>
        </w:rPr>
        <w:lastRenderedPageBreak/>
        <w:t>that there is a reasonable likelihood that the enhanced sentence was the result of vindictiveness” (citations omitted)]</w:t>
      </w:r>
      <w:r w:rsidR="00042F22" w:rsidRPr="00240178">
        <w:rPr>
          <w:rFonts w:cs="Times New Roman"/>
          <w:szCs w:val="24"/>
        </w:rPr>
        <w:t>)</w:t>
      </w:r>
      <w:r w:rsidR="00387ECC" w:rsidRPr="00240178">
        <w:rPr>
          <w:rFonts w:cs="Times New Roman"/>
          <w:szCs w:val="24"/>
        </w:rPr>
        <w:t>.</w:t>
      </w:r>
    </w:p>
    <w:bookmarkEnd w:id="2"/>
    <w:p w14:paraId="05DD0812" w14:textId="77777777" w:rsidR="00387ECC" w:rsidRPr="00240178" w:rsidRDefault="00387ECC" w:rsidP="00240178">
      <w:pPr>
        <w:spacing w:line="240" w:lineRule="auto"/>
        <w:ind w:left="0"/>
        <w:jc w:val="both"/>
        <w:rPr>
          <w:rFonts w:cs="Times New Roman"/>
          <w:szCs w:val="24"/>
        </w:rPr>
      </w:pPr>
    </w:p>
    <w:p w14:paraId="0B8B4254" w14:textId="62821BB8" w:rsidR="00387ECC" w:rsidRPr="00240178" w:rsidRDefault="00240178" w:rsidP="00240178">
      <w:pPr>
        <w:tabs>
          <w:tab w:val="left" w:pos="720"/>
        </w:tabs>
        <w:spacing w:line="240" w:lineRule="auto"/>
        <w:ind w:left="0" w:right="0"/>
        <w:jc w:val="both"/>
        <w:rPr>
          <w:rFonts w:cs="Times New Roman"/>
          <w:szCs w:val="24"/>
        </w:rPr>
      </w:pPr>
      <w:r>
        <w:rPr>
          <w:rFonts w:cs="Times New Roman"/>
          <w:szCs w:val="24"/>
        </w:rPr>
        <w:tab/>
      </w:r>
      <w:r w:rsidR="00387ECC" w:rsidRPr="00240178">
        <w:rPr>
          <w:rFonts w:cs="Times New Roman"/>
          <w:szCs w:val="24"/>
        </w:rPr>
        <w:t>What may trigger the presumption in other situations depends on “the opportunity which the particular situation presents for vindictiveness and the reasonable likelihood that the prosecutor or sentencing authority is improperly motivated by what has occurred” (</w:t>
      </w:r>
      <w:r w:rsidR="00387ECC" w:rsidRPr="00240178">
        <w:rPr>
          <w:rFonts w:cs="Times New Roman"/>
          <w:i/>
          <w:iCs/>
          <w:szCs w:val="24"/>
        </w:rPr>
        <w:t>Miller</w:t>
      </w:r>
      <w:r w:rsidR="00387ECC" w:rsidRPr="00240178">
        <w:rPr>
          <w:rFonts w:cs="Times New Roman"/>
          <w:szCs w:val="24"/>
        </w:rPr>
        <w:t>,</w:t>
      </w:r>
      <w:r w:rsidR="00387ECC" w:rsidRPr="00240178">
        <w:rPr>
          <w:rFonts w:cs="Times New Roman"/>
          <w:i/>
          <w:iCs/>
          <w:szCs w:val="24"/>
        </w:rPr>
        <w:t xml:space="preserve"> </w:t>
      </w:r>
      <w:r w:rsidR="00387ECC" w:rsidRPr="00240178">
        <w:rPr>
          <w:rFonts w:cs="Times New Roman"/>
          <w:szCs w:val="24"/>
        </w:rPr>
        <w:t xml:space="preserve">65 NY2d at 508). </w:t>
      </w:r>
    </w:p>
    <w:p w14:paraId="787C554C" w14:textId="77777777" w:rsidR="00387ECC" w:rsidRPr="00240178" w:rsidRDefault="00387ECC" w:rsidP="00240178">
      <w:pPr>
        <w:spacing w:line="240" w:lineRule="auto"/>
        <w:ind w:left="0" w:right="0"/>
        <w:rPr>
          <w:rFonts w:cs="Times New Roman"/>
          <w:szCs w:val="24"/>
        </w:rPr>
      </w:pPr>
    </w:p>
    <w:p w14:paraId="54E13B12" w14:textId="06CEEA17" w:rsidR="00387ECC" w:rsidRPr="00240178" w:rsidRDefault="00387ECC" w:rsidP="00240178">
      <w:pPr>
        <w:shd w:val="clear" w:color="auto" w:fill="FFFFFF"/>
        <w:spacing w:line="240" w:lineRule="auto"/>
        <w:ind w:left="0" w:right="0"/>
        <w:jc w:val="both"/>
        <w:rPr>
          <w:rFonts w:eastAsia="Times New Roman" w:cs="Times New Roman"/>
          <w:color w:val="000000"/>
          <w:szCs w:val="24"/>
        </w:rPr>
      </w:pPr>
      <w:r w:rsidRPr="00240178">
        <w:rPr>
          <w:rFonts w:cs="Times New Roman"/>
          <w:szCs w:val="24"/>
        </w:rPr>
        <w:tab/>
        <w:t>The presumption therefore does not normally arise when a plea of guilty has been set aside and the defendant is then convicted after a trial (</w:t>
      </w:r>
      <w:r w:rsidRPr="00240178">
        <w:rPr>
          <w:rFonts w:cs="Times New Roman"/>
          <w:i/>
          <w:iCs/>
          <w:szCs w:val="24"/>
        </w:rPr>
        <w:t>Alabama v Smith</w:t>
      </w:r>
      <w:r w:rsidRPr="00240178">
        <w:rPr>
          <w:rFonts w:cs="Times New Roman"/>
          <w:szCs w:val="24"/>
        </w:rPr>
        <w:t xml:space="preserve">, 490 US 794, 795 [1989] [“no presumption of vindictiveness arises when the first sentence was based upon a guilty plea, and the second sentence follows a trial”]; </w:t>
      </w:r>
      <w:r w:rsidRPr="00240178">
        <w:rPr>
          <w:rFonts w:eastAsia="Times New Roman" w:cs="Times New Roman"/>
          <w:i/>
          <w:iCs/>
          <w:color w:val="000000"/>
          <w:szCs w:val="24"/>
        </w:rPr>
        <w:t>Miller</w:t>
      </w:r>
      <w:r w:rsidRPr="00240178">
        <w:rPr>
          <w:rFonts w:eastAsia="Times New Roman" w:cs="Times New Roman"/>
          <w:color w:val="000000"/>
          <w:szCs w:val="24"/>
        </w:rPr>
        <w:t xml:space="preserve">, 65 NY2d </w:t>
      </w:r>
      <w:r w:rsidR="00042F22" w:rsidRPr="00240178">
        <w:rPr>
          <w:rFonts w:eastAsia="Times New Roman" w:cs="Times New Roman"/>
          <w:color w:val="000000"/>
          <w:szCs w:val="24"/>
        </w:rPr>
        <w:t xml:space="preserve">at </w:t>
      </w:r>
      <w:r w:rsidRPr="00240178">
        <w:rPr>
          <w:rFonts w:eastAsia="Times New Roman" w:cs="Times New Roman"/>
          <w:color w:val="000000"/>
          <w:szCs w:val="24"/>
        </w:rPr>
        <w:t>509</w:t>
      </w:r>
      <w:r w:rsidR="00042F22" w:rsidRPr="00240178">
        <w:rPr>
          <w:rFonts w:eastAsia="Times New Roman" w:cs="Times New Roman"/>
          <w:color w:val="000000"/>
          <w:szCs w:val="24"/>
        </w:rPr>
        <w:t xml:space="preserve"> </w:t>
      </w:r>
      <w:r w:rsidRPr="00240178">
        <w:rPr>
          <w:rFonts w:eastAsia="Times New Roman" w:cs="Times New Roman"/>
          <w:color w:val="000000"/>
          <w:szCs w:val="24"/>
        </w:rPr>
        <w:t>[“Having accepted the exercise of discretion to lower the original sentence in return for a plea in order to protect the victim, the defendant should not be heard to complain that a higher sentence is imposed after conviction following a retrial at which, by requiring that the victim testify, he has removed from consideration the element of discretion involved”]</w:t>
      </w:r>
      <w:r w:rsidR="00042F22" w:rsidRPr="00240178">
        <w:rPr>
          <w:rFonts w:eastAsia="Times New Roman" w:cs="Times New Roman"/>
          <w:color w:val="000000"/>
          <w:szCs w:val="24"/>
        </w:rPr>
        <w:t>)</w:t>
      </w:r>
      <w:r w:rsidRPr="00240178">
        <w:rPr>
          <w:rFonts w:eastAsia="Times New Roman" w:cs="Times New Roman"/>
          <w:color w:val="000000"/>
          <w:szCs w:val="24"/>
        </w:rPr>
        <w:t>.</w:t>
      </w:r>
    </w:p>
    <w:p w14:paraId="5FA4021F" w14:textId="77777777" w:rsidR="00387ECC" w:rsidRPr="00240178" w:rsidRDefault="00387ECC" w:rsidP="00240178">
      <w:pPr>
        <w:shd w:val="clear" w:color="auto" w:fill="FFFFFF"/>
        <w:spacing w:line="240" w:lineRule="auto"/>
        <w:ind w:left="0" w:right="0"/>
        <w:jc w:val="both"/>
        <w:rPr>
          <w:rFonts w:eastAsia="Times New Roman" w:cs="Times New Roman"/>
          <w:color w:val="000000"/>
          <w:szCs w:val="24"/>
        </w:rPr>
      </w:pPr>
    </w:p>
    <w:p w14:paraId="31F23E46" w14:textId="791947E1" w:rsidR="00387ECC" w:rsidRPr="00240178" w:rsidRDefault="00387ECC" w:rsidP="00240178">
      <w:pPr>
        <w:shd w:val="clear" w:color="auto" w:fill="FFFFFF"/>
        <w:spacing w:line="240" w:lineRule="auto"/>
        <w:ind w:left="0" w:right="0"/>
        <w:jc w:val="both"/>
        <w:rPr>
          <w:rFonts w:cs="Times New Roman"/>
          <w:szCs w:val="24"/>
        </w:rPr>
      </w:pPr>
      <w:r w:rsidRPr="00240178">
        <w:rPr>
          <w:rFonts w:eastAsia="Times New Roman" w:cs="Times New Roman"/>
          <w:color w:val="000000"/>
          <w:szCs w:val="24"/>
        </w:rPr>
        <w:tab/>
        <w:t>“</w:t>
      </w:r>
      <w:r w:rsidRPr="00240178">
        <w:rPr>
          <w:rFonts w:cs="Times New Roman"/>
          <w:szCs w:val="24"/>
        </w:rPr>
        <w:t xml:space="preserve">Similarly,” </w:t>
      </w:r>
      <w:r w:rsidRPr="00240178">
        <w:rPr>
          <w:rFonts w:cs="Times New Roman"/>
          <w:i/>
          <w:iCs/>
          <w:szCs w:val="24"/>
        </w:rPr>
        <w:t xml:space="preserve">Young </w:t>
      </w:r>
      <w:r w:rsidRPr="00240178">
        <w:rPr>
          <w:rFonts w:cs="Times New Roman"/>
          <w:szCs w:val="24"/>
        </w:rPr>
        <w:t>explained, “the Supreme Court has held that the presumption does not arise in other instances where, although there was an ‘opp</w:t>
      </w:r>
      <w:bookmarkStart w:id="4" w:name="_GoBack"/>
      <w:bookmarkEnd w:id="4"/>
      <w:r w:rsidRPr="00240178">
        <w:rPr>
          <w:rFonts w:cs="Times New Roman"/>
          <w:szCs w:val="24"/>
        </w:rPr>
        <w:t>ortunity’ for vindictiveness, there was not a ‘realistic likelihood’ that the enhanced sentence was the result of impermissible vindictiveness (</w:t>
      </w:r>
      <w:r w:rsidRPr="00240178">
        <w:rPr>
          <w:rFonts w:cs="Times New Roman"/>
          <w:i/>
          <w:iCs/>
          <w:szCs w:val="24"/>
        </w:rPr>
        <w:t>United States v Goodwin</w:t>
      </w:r>
      <w:r w:rsidR="00606D6E" w:rsidRPr="00240178">
        <w:rPr>
          <w:rFonts w:cs="Times New Roman"/>
          <w:i/>
          <w:iCs/>
          <w:szCs w:val="24"/>
        </w:rPr>
        <w:t xml:space="preserve"> </w:t>
      </w:r>
      <w:r w:rsidRPr="00240178">
        <w:rPr>
          <w:rFonts w:cs="Times New Roman"/>
          <w:szCs w:val="24"/>
        </w:rPr>
        <w:t>[457 US 368, 384 (19</w:t>
      </w:r>
      <w:r w:rsidR="00606D6E" w:rsidRPr="00240178">
        <w:rPr>
          <w:rFonts w:cs="Times New Roman"/>
          <w:szCs w:val="24"/>
        </w:rPr>
        <w:t>82</w:t>
      </w:r>
      <w:r w:rsidRPr="00240178">
        <w:rPr>
          <w:rFonts w:cs="Times New Roman"/>
          <w:szCs w:val="24"/>
        </w:rPr>
        <w:t>)</w:t>
      </w:r>
      <w:r w:rsidR="00606D6E" w:rsidRPr="00240178">
        <w:rPr>
          <w:rFonts w:cs="Times New Roman"/>
          <w:szCs w:val="24"/>
        </w:rPr>
        <w:t xml:space="preserve">] [no presumption of vindictiveness where defendant was charged with a felony after refusing to plead guilty to misdemeanor charges]; </w:t>
      </w:r>
      <w:r w:rsidRPr="00240178">
        <w:rPr>
          <w:rFonts w:cs="Times New Roman"/>
          <w:i/>
          <w:iCs/>
          <w:szCs w:val="24"/>
        </w:rPr>
        <w:t>see also</w:t>
      </w:r>
      <w:r w:rsidR="00606D6E" w:rsidRPr="00240178">
        <w:rPr>
          <w:rFonts w:cs="Times New Roman"/>
          <w:i/>
          <w:iCs/>
          <w:szCs w:val="24"/>
        </w:rPr>
        <w:t>,</w:t>
      </w:r>
      <w:r w:rsidRPr="00240178">
        <w:rPr>
          <w:rFonts w:cs="Times New Roman"/>
          <w:i/>
          <w:iCs/>
          <w:szCs w:val="24"/>
        </w:rPr>
        <w:t xml:space="preserve"> Colten v Kentucky,</w:t>
      </w:r>
      <w:r w:rsidRPr="00240178">
        <w:rPr>
          <w:rFonts w:cs="Times New Roman"/>
          <w:szCs w:val="24"/>
        </w:rPr>
        <w:t xml:space="preserve"> 407 US 104, 117</w:t>
      </w:r>
      <w:r w:rsidR="00606D6E" w:rsidRPr="00240178">
        <w:rPr>
          <w:rFonts w:cs="Times New Roman"/>
          <w:szCs w:val="24"/>
        </w:rPr>
        <w:t>-</w:t>
      </w:r>
      <w:r w:rsidRPr="00240178">
        <w:rPr>
          <w:rFonts w:cs="Times New Roman"/>
          <w:szCs w:val="24"/>
        </w:rPr>
        <w:t>120 [</w:t>
      </w:r>
      <w:r w:rsidR="00606D6E" w:rsidRPr="00240178">
        <w:rPr>
          <w:rFonts w:cs="Times New Roman"/>
          <w:szCs w:val="24"/>
        </w:rPr>
        <w:t>1972</w:t>
      </w:r>
      <w:r w:rsidRPr="00240178">
        <w:rPr>
          <w:rFonts w:cs="Times New Roman"/>
          <w:szCs w:val="24"/>
        </w:rPr>
        <w:t>] [no presumption of vindictiveness where, following conviction in inferior court,  defendant sought trial de novo in superior court under Kentucky</w:t>
      </w:r>
      <w:r w:rsidR="003331CD">
        <w:rPr>
          <w:rFonts w:cs="Times New Roman"/>
          <w:szCs w:val="24"/>
        </w:rPr>
        <w:t>’</w:t>
      </w:r>
      <w:r w:rsidRPr="00240178">
        <w:rPr>
          <w:rFonts w:cs="Times New Roman"/>
          <w:szCs w:val="24"/>
        </w:rPr>
        <w:t>s two-tiered system and received greater sentence]). Where there is no ‘reasonable likelihood’ of vindictiveness, ‘the burden remains upon the defendant to prove actual vindictiveness’ (</w:t>
      </w:r>
      <w:r w:rsidRPr="00240178">
        <w:rPr>
          <w:rFonts w:cs="Times New Roman"/>
          <w:i/>
          <w:iCs/>
          <w:szCs w:val="24"/>
        </w:rPr>
        <w:t xml:space="preserve">Alabama v Smith </w:t>
      </w:r>
      <w:r w:rsidRPr="00240178">
        <w:rPr>
          <w:rFonts w:cs="Times New Roman"/>
          <w:szCs w:val="24"/>
        </w:rPr>
        <w:t>[490 US at 799-800])</w:t>
      </w:r>
      <w:r w:rsidR="00DA2E34" w:rsidRPr="00240178">
        <w:rPr>
          <w:rFonts w:cs="Times New Roman"/>
          <w:szCs w:val="24"/>
        </w:rPr>
        <w:t>” (</w:t>
      </w:r>
      <w:r w:rsidRPr="00240178">
        <w:rPr>
          <w:rFonts w:cs="Times New Roman"/>
          <w:i/>
          <w:iCs/>
          <w:szCs w:val="24"/>
        </w:rPr>
        <w:t>Young</w:t>
      </w:r>
      <w:r w:rsidRPr="00240178">
        <w:rPr>
          <w:rFonts w:cs="Times New Roman"/>
          <w:szCs w:val="24"/>
        </w:rPr>
        <w:t>, 94 NY2d at 177-</w:t>
      </w:r>
      <w:r w:rsidR="00DA2E34" w:rsidRPr="00240178">
        <w:rPr>
          <w:rFonts w:cs="Times New Roman"/>
          <w:szCs w:val="24"/>
        </w:rPr>
        <w:t>1</w:t>
      </w:r>
      <w:r w:rsidRPr="00240178">
        <w:rPr>
          <w:rFonts w:cs="Times New Roman"/>
          <w:szCs w:val="24"/>
        </w:rPr>
        <w:t>78</w:t>
      </w:r>
      <w:r w:rsidR="00DA2E34" w:rsidRPr="00240178">
        <w:rPr>
          <w:rFonts w:cs="Times New Roman"/>
          <w:szCs w:val="24"/>
        </w:rPr>
        <w:t>)</w:t>
      </w:r>
      <w:r w:rsidRPr="00240178">
        <w:rPr>
          <w:rFonts w:cs="Times New Roman"/>
          <w:szCs w:val="24"/>
        </w:rPr>
        <w:t>.</w:t>
      </w:r>
    </w:p>
    <w:p w14:paraId="354BC332" w14:textId="77777777" w:rsidR="00387ECC" w:rsidRPr="00240178" w:rsidRDefault="00387ECC" w:rsidP="00240178">
      <w:pPr>
        <w:shd w:val="clear" w:color="auto" w:fill="FFFFFF"/>
        <w:spacing w:line="240" w:lineRule="auto"/>
        <w:ind w:left="0" w:right="0"/>
        <w:jc w:val="both"/>
        <w:rPr>
          <w:rFonts w:cs="Times New Roman"/>
          <w:szCs w:val="24"/>
        </w:rPr>
      </w:pPr>
    </w:p>
    <w:p w14:paraId="368C1EBF" w14:textId="3A38D7AA" w:rsidR="00387ECC" w:rsidRPr="00240178" w:rsidRDefault="00387ECC" w:rsidP="00240178">
      <w:pPr>
        <w:shd w:val="clear" w:color="auto" w:fill="FFFFFF"/>
        <w:spacing w:line="240" w:lineRule="auto"/>
        <w:ind w:left="0" w:right="0"/>
        <w:jc w:val="both"/>
        <w:rPr>
          <w:rFonts w:cs="Times New Roman"/>
          <w:szCs w:val="24"/>
        </w:rPr>
      </w:pPr>
      <w:r w:rsidRPr="00240178">
        <w:rPr>
          <w:rFonts w:cs="Times New Roman"/>
          <w:szCs w:val="24"/>
        </w:rPr>
        <w:tab/>
        <w:t xml:space="preserve">Where a defendant receives a “greater sentence on an individual count, but an equal or lesser over-all sentence, courts must examine the record to determine whether there is a reasonable likelihood that the enhanced sentence on the individual count was the result of vindictiveness” </w:t>
      </w:r>
      <w:r w:rsidR="006A3D1E" w:rsidRPr="00240178">
        <w:rPr>
          <w:rFonts w:cs="Times New Roman"/>
          <w:szCs w:val="24"/>
        </w:rPr>
        <w:t>(</w:t>
      </w:r>
      <w:r w:rsidRPr="00240178">
        <w:rPr>
          <w:rFonts w:cs="Times New Roman"/>
          <w:i/>
          <w:iCs/>
          <w:szCs w:val="24"/>
        </w:rPr>
        <w:t>Young</w:t>
      </w:r>
      <w:r w:rsidRPr="00240178">
        <w:rPr>
          <w:rFonts w:cs="Times New Roman"/>
          <w:szCs w:val="24"/>
        </w:rPr>
        <w:t>, 94 NY2d at 179</w:t>
      </w:r>
      <w:r w:rsidR="006A3D1E" w:rsidRPr="00240178">
        <w:rPr>
          <w:rFonts w:cs="Times New Roman"/>
          <w:szCs w:val="24"/>
        </w:rPr>
        <w:t>)</w:t>
      </w:r>
      <w:r w:rsidRPr="00240178">
        <w:rPr>
          <w:rFonts w:cs="Times New Roman"/>
          <w:szCs w:val="24"/>
        </w:rPr>
        <w:t>.</w:t>
      </w:r>
    </w:p>
    <w:p w14:paraId="3884471A" w14:textId="77777777" w:rsidR="00387ECC" w:rsidRPr="00240178" w:rsidRDefault="00387ECC" w:rsidP="00240178">
      <w:pPr>
        <w:shd w:val="clear" w:color="auto" w:fill="FFFFFF"/>
        <w:spacing w:line="240" w:lineRule="auto"/>
        <w:ind w:left="0" w:right="0"/>
        <w:jc w:val="both"/>
        <w:rPr>
          <w:rFonts w:cs="Times New Roman"/>
          <w:szCs w:val="24"/>
        </w:rPr>
      </w:pPr>
    </w:p>
    <w:p w14:paraId="45A86F63" w14:textId="1B92FB78" w:rsidR="00387ECC" w:rsidRPr="00240178" w:rsidRDefault="00240178" w:rsidP="00240178">
      <w:pPr>
        <w:tabs>
          <w:tab w:val="left" w:pos="720"/>
        </w:tabs>
        <w:autoSpaceDE w:val="0"/>
        <w:autoSpaceDN w:val="0"/>
        <w:adjustRightInd w:val="0"/>
        <w:snapToGrid w:val="0"/>
        <w:spacing w:line="240" w:lineRule="auto"/>
        <w:ind w:left="0" w:right="0"/>
        <w:jc w:val="both"/>
        <w:rPr>
          <w:rFonts w:cs="Times New Roman"/>
          <w:szCs w:val="24"/>
        </w:rPr>
      </w:pPr>
      <w:r>
        <w:rPr>
          <w:rFonts w:cs="Times New Roman"/>
          <w:szCs w:val="24"/>
        </w:rPr>
        <w:tab/>
      </w:r>
      <w:r w:rsidR="00387ECC" w:rsidRPr="00240178">
        <w:rPr>
          <w:rFonts w:cs="Times New Roman"/>
          <w:szCs w:val="24"/>
        </w:rPr>
        <w:t xml:space="preserve">While the presumption of vindictiveness on resentence “does not apply” under the Federal </w:t>
      </w:r>
      <w:r w:rsidR="006A3D1E" w:rsidRPr="00240178">
        <w:rPr>
          <w:rFonts w:cs="Times New Roman"/>
          <w:szCs w:val="24"/>
        </w:rPr>
        <w:t>C</w:t>
      </w:r>
      <w:r w:rsidR="00387ECC" w:rsidRPr="00240178">
        <w:rPr>
          <w:rFonts w:cs="Times New Roman"/>
          <w:szCs w:val="24"/>
        </w:rPr>
        <w:t xml:space="preserve">onstitution when “a different </w:t>
      </w:r>
      <w:r w:rsidR="006A3D1E" w:rsidRPr="00240178">
        <w:rPr>
          <w:rFonts w:cs="Times New Roman"/>
          <w:szCs w:val="24"/>
        </w:rPr>
        <w:t>J</w:t>
      </w:r>
      <w:r w:rsidR="00387ECC" w:rsidRPr="00240178">
        <w:rPr>
          <w:rFonts w:cs="Times New Roman"/>
          <w:szCs w:val="24"/>
        </w:rPr>
        <w:t>udge imposes the longer sentence,” as a matter of State constitutional law, the presumption does apply (</w:t>
      </w:r>
      <w:r w:rsidR="00387ECC" w:rsidRPr="00240178">
        <w:rPr>
          <w:rFonts w:cs="Times New Roman"/>
          <w:i/>
          <w:iCs/>
          <w:szCs w:val="24"/>
        </w:rPr>
        <w:t>Young</w:t>
      </w:r>
      <w:r w:rsidR="00387ECC" w:rsidRPr="00240178">
        <w:rPr>
          <w:rFonts w:cs="Times New Roman"/>
          <w:szCs w:val="24"/>
        </w:rPr>
        <w:t>, 94 NY2d at 178).  That “a different Judge imposes the second sentence is but a factor to be weighed with others in assaying whether the presumption has been overcome</w:t>
      </w:r>
      <w:r w:rsidR="006A3D1E" w:rsidRPr="00240178">
        <w:rPr>
          <w:rFonts w:cs="Times New Roman"/>
          <w:szCs w:val="24"/>
        </w:rPr>
        <w:t>”</w:t>
      </w:r>
      <w:r w:rsidR="00387ECC" w:rsidRPr="00240178">
        <w:rPr>
          <w:rFonts w:cs="Times New Roman"/>
          <w:szCs w:val="24"/>
        </w:rPr>
        <w:t xml:space="preserve"> (</w:t>
      </w:r>
      <w:hyperlink r:id="rId6" w:anchor="co_pp_sp_605_161" w:history="1">
        <w:r w:rsidR="00387ECC" w:rsidRPr="00240178">
          <w:rPr>
            <w:rStyle w:val="Hyperlink"/>
            <w:rFonts w:cs="Times New Roman"/>
            <w:i/>
            <w:iCs/>
            <w:color w:val="auto"/>
            <w:szCs w:val="24"/>
            <w:u w:val="none"/>
          </w:rPr>
          <w:t>Van Pelt</w:t>
        </w:r>
        <w:r w:rsidR="00387ECC" w:rsidRPr="00240178">
          <w:rPr>
            <w:rStyle w:val="Hyperlink"/>
            <w:rFonts w:cs="Times New Roman"/>
            <w:color w:val="auto"/>
            <w:szCs w:val="24"/>
            <w:u w:val="none"/>
          </w:rPr>
          <w:t>,</w:t>
        </w:r>
        <w:r w:rsidR="00387ECC" w:rsidRPr="00240178">
          <w:rPr>
            <w:rStyle w:val="Hyperlink"/>
            <w:rFonts w:cs="Times New Roman"/>
            <w:i/>
            <w:iCs/>
            <w:color w:val="auto"/>
            <w:szCs w:val="24"/>
            <w:u w:val="none"/>
          </w:rPr>
          <w:t xml:space="preserve"> </w:t>
        </w:r>
        <w:r w:rsidR="00387ECC" w:rsidRPr="00240178">
          <w:rPr>
            <w:rStyle w:val="Hyperlink"/>
            <w:rFonts w:cs="Times New Roman"/>
            <w:color w:val="auto"/>
            <w:szCs w:val="24"/>
            <w:u w:val="none"/>
          </w:rPr>
          <w:t>76 NY2d at 161)</w:t>
        </w:r>
      </w:hyperlink>
      <w:r w:rsidR="00387ECC" w:rsidRPr="00240178">
        <w:rPr>
          <w:rStyle w:val="Hyperlink"/>
          <w:rFonts w:cs="Times New Roman"/>
          <w:color w:val="auto"/>
          <w:szCs w:val="24"/>
          <w:u w:val="none"/>
        </w:rPr>
        <w:t>.</w:t>
      </w:r>
    </w:p>
    <w:p w14:paraId="69C5F29E" w14:textId="77777777" w:rsidR="00387ECC" w:rsidRPr="00240178" w:rsidRDefault="00387ECC" w:rsidP="00240178">
      <w:pPr>
        <w:autoSpaceDE w:val="0"/>
        <w:autoSpaceDN w:val="0"/>
        <w:adjustRightInd w:val="0"/>
        <w:snapToGrid w:val="0"/>
        <w:spacing w:line="240" w:lineRule="auto"/>
        <w:ind w:left="0" w:right="0"/>
        <w:jc w:val="both"/>
        <w:rPr>
          <w:rFonts w:cs="Times New Roman"/>
          <w:szCs w:val="24"/>
        </w:rPr>
      </w:pPr>
    </w:p>
    <w:p w14:paraId="2FC0D141" w14:textId="3F584A6F" w:rsidR="005014F6" w:rsidRPr="00240178" w:rsidRDefault="00240178" w:rsidP="00240178">
      <w:pPr>
        <w:tabs>
          <w:tab w:val="left" w:pos="720"/>
        </w:tabs>
        <w:autoSpaceDE w:val="0"/>
        <w:autoSpaceDN w:val="0"/>
        <w:adjustRightInd w:val="0"/>
        <w:snapToGrid w:val="0"/>
        <w:spacing w:line="240" w:lineRule="auto"/>
        <w:ind w:left="0" w:right="0"/>
        <w:jc w:val="both"/>
        <w:rPr>
          <w:rFonts w:cs="Times New Roman"/>
          <w:szCs w:val="24"/>
        </w:rPr>
      </w:pPr>
      <w:r>
        <w:rPr>
          <w:rFonts w:cs="Times New Roman"/>
          <w:szCs w:val="24"/>
        </w:rPr>
        <w:lastRenderedPageBreak/>
        <w:tab/>
      </w:r>
      <w:r w:rsidR="00387ECC" w:rsidRPr="00240178">
        <w:rPr>
          <w:rFonts w:cs="Times New Roman"/>
          <w:szCs w:val="24"/>
        </w:rPr>
        <w:t>A claim that the sentence imposed was presumptively vindictive must be preserved for appellate review as a question of law</w:t>
      </w:r>
      <w:r w:rsidR="006A3D1E" w:rsidRPr="00240178">
        <w:rPr>
          <w:rFonts w:cs="Times New Roman"/>
          <w:szCs w:val="24"/>
        </w:rPr>
        <w:t xml:space="preserve"> </w:t>
      </w:r>
      <w:r w:rsidR="00387ECC" w:rsidRPr="00240178">
        <w:rPr>
          <w:rFonts w:cs="Times New Roman"/>
          <w:szCs w:val="24"/>
        </w:rPr>
        <w:t>(</w:t>
      </w:r>
      <w:r w:rsidR="00387ECC" w:rsidRPr="00240178">
        <w:rPr>
          <w:rFonts w:cs="Times New Roman"/>
          <w:i/>
          <w:iCs/>
          <w:szCs w:val="24"/>
        </w:rPr>
        <w:t>People v Olds</w:t>
      </w:r>
      <w:r w:rsidR="00387ECC" w:rsidRPr="00240178">
        <w:rPr>
          <w:rFonts w:cs="Times New Roman"/>
          <w:szCs w:val="24"/>
        </w:rPr>
        <w:t xml:space="preserve">, </w:t>
      </w:r>
      <w:r w:rsidR="00755C09">
        <w:rPr>
          <w:rFonts w:cs="Times New Roman"/>
          <w:szCs w:val="24"/>
        </w:rPr>
        <w:t xml:space="preserve">36 </w:t>
      </w:r>
      <w:r w:rsidR="00387ECC" w:rsidRPr="00240178">
        <w:rPr>
          <w:rFonts w:cs="Times New Roman"/>
          <w:szCs w:val="24"/>
        </w:rPr>
        <w:t>NY3d</w:t>
      </w:r>
      <w:r w:rsidR="006A3D1E" w:rsidRPr="00240178">
        <w:rPr>
          <w:rFonts w:cs="Times New Roman"/>
          <w:szCs w:val="24"/>
        </w:rPr>
        <w:t xml:space="preserve"> </w:t>
      </w:r>
      <w:r w:rsidR="00755C09">
        <w:rPr>
          <w:rFonts w:cs="Times New Roman"/>
          <w:szCs w:val="24"/>
        </w:rPr>
        <w:t xml:space="preserve">1091 </w:t>
      </w:r>
      <w:r w:rsidR="00387ECC" w:rsidRPr="00240178">
        <w:rPr>
          <w:rFonts w:cs="Times New Roman"/>
          <w:szCs w:val="24"/>
        </w:rPr>
        <w:t>[2021]).</w:t>
      </w:r>
    </w:p>
    <w:sectPr w:rsidR="005014F6" w:rsidRPr="00240178" w:rsidSect="00240178">
      <w:footerReference w:type="default" r:id="rId7"/>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BE051" w14:textId="77777777" w:rsidR="00C77762" w:rsidRDefault="00C77762" w:rsidP="00C77762">
      <w:pPr>
        <w:spacing w:line="240" w:lineRule="auto"/>
      </w:pPr>
      <w:r>
        <w:separator/>
      </w:r>
    </w:p>
  </w:endnote>
  <w:endnote w:type="continuationSeparator" w:id="0">
    <w:p w14:paraId="077200A9" w14:textId="77777777" w:rsidR="00C77762" w:rsidRDefault="00C77762" w:rsidP="00C77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330023"/>
      <w:docPartObj>
        <w:docPartGallery w:val="Page Numbers (Bottom of Page)"/>
        <w:docPartUnique/>
      </w:docPartObj>
    </w:sdtPr>
    <w:sdtEndPr>
      <w:rPr>
        <w:noProof/>
      </w:rPr>
    </w:sdtEndPr>
    <w:sdtContent>
      <w:p w14:paraId="0F483C12" w14:textId="51F1C7EF" w:rsidR="00C77762" w:rsidRDefault="00C777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650C6" w14:textId="77777777" w:rsidR="00C77762" w:rsidRDefault="00C77762" w:rsidP="00C77762">
      <w:pPr>
        <w:spacing w:line="240" w:lineRule="auto"/>
      </w:pPr>
      <w:r>
        <w:separator/>
      </w:r>
    </w:p>
  </w:footnote>
  <w:footnote w:type="continuationSeparator" w:id="0">
    <w:p w14:paraId="18BB255A" w14:textId="77777777" w:rsidR="00C77762" w:rsidRDefault="00C77762" w:rsidP="00C777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CC"/>
    <w:rsid w:val="00042F22"/>
    <w:rsid w:val="00074671"/>
    <w:rsid w:val="0019664D"/>
    <w:rsid w:val="00240178"/>
    <w:rsid w:val="003331CD"/>
    <w:rsid w:val="00334692"/>
    <w:rsid w:val="003574EA"/>
    <w:rsid w:val="00387ECC"/>
    <w:rsid w:val="003D7E32"/>
    <w:rsid w:val="00415918"/>
    <w:rsid w:val="0048286F"/>
    <w:rsid w:val="004D2693"/>
    <w:rsid w:val="004F23D2"/>
    <w:rsid w:val="005014F6"/>
    <w:rsid w:val="00554870"/>
    <w:rsid w:val="00582CF5"/>
    <w:rsid w:val="005C0B13"/>
    <w:rsid w:val="005E6AE4"/>
    <w:rsid w:val="00606D6E"/>
    <w:rsid w:val="00626CC3"/>
    <w:rsid w:val="006A3D1E"/>
    <w:rsid w:val="006A5F9A"/>
    <w:rsid w:val="006D371A"/>
    <w:rsid w:val="00726FB2"/>
    <w:rsid w:val="007333D9"/>
    <w:rsid w:val="00755C09"/>
    <w:rsid w:val="008076DD"/>
    <w:rsid w:val="008F2771"/>
    <w:rsid w:val="00A3197D"/>
    <w:rsid w:val="00AF514F"/>
    <w:rsid w:val="00BC70D2"/>
    <w:rsid w:val="00C15ABB"/>
    <w:rsid w:val="00C25890"/>
    <w:rsid w:val="00C4113E"/>
    <w:rsid w:val="00C77762"/>
    <w:rsid w:val="00CF2F0D"/>
    <w:rsid w:val="00D53852"/>
    <w:rsid w:val="00D55842"/>
    <w:rsid w:val="00D76DA9"/>
    <w:rsid w:val="00DA2E34"/>
    <w:rsid w:val="00E06B90"/>
    <w:rsid w:val="00EB7CF2"/>
    <w:rsid w:val="00F377C2"/>
    <w:rsid w:val="00F822A6"/>
    <w:rsid w:val="00F9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DE3F"/>
  <w15:chartTrackingRefBased/>
  <w15:docId w15:val="{9C80E346-8221-4B29-A4CC-4939E430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ECC"/>
    <w:pPr>
      <w:spacing w:line="276" w:lineRule="auto"/>
      <w:ind w:left="1152" w:right="115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ECC"/>
    <w:rPr>
      <w:color w:val="0563C1" w:themeColor="hyperlink"/>
      <w:u w:val="single"/>
    </w:rPr>
  </w:style>
  <w:style w:type="paragraph" w:styleId="Header">
    <w:name w:val="header"/>
    <w:basedOn w:val="Normal"/>
    <w:link w:val="HeaderChar"/>
    <w:uiPriority w:val="99"/>
    <w:unhideWhenUsed/>
    <w:rsid w:val="00C77762"/>
    <w:pPr>
      <w:tabs>
        <w:tab w:val="center" w:pos="4680"/>
        <w:tab w:val="right" w:pos="9360"/>
      </w:tabs>
      <w:spacing w:line="240" w:lineRule="auto"/>
    </w:pPr>
  </w:style>
  <w:style w:type="character" w:customStyle="1" w:styleId="HeaderChar">
    <w:name w:val="Header Char"/>
    <w:basedOn w:val="DefaultParagraphFont"/>
    <w:link w:val="Header"/>
    <w:uiPriority w:val="99"/>
    <w:rsid w:val="00C77762"/>
    <w:rPr>
      <w:rFonts w:ascii="Times New Roman" w:hAnsi="Times New Roman"/>
      <w:sz w:val="24"/>
    </w:rPr>
  </w:style>
  <w:style w:type="paragraph" w:styleId="Footer">
    <w:name w:val="footer"/>
    <w:basedOn w:val="Normal"/>
    <w:link w:val="FooterChar"/>
    <w:uiPriority w:val="99"/>
    <w:unhideWhenUsed/>
    <w:rsid w:val="00C77762"/>
    <w:pPr>
      <w:tabs>
        <w:tab w:val="center" w:pos="4680"/>
        <w:tab w:val="right" w:pos="9360"/>
      </w:tabs>
      <w:spacing w:line="240" w:lineRule="auto"/>
    </w:pPr>
  </w:style>
  <w:style w:type="character" w:customStyle="1" w:styleId="FooterChar">
    <w:name w:val="Footer Char"/>
    <w:basedOn w:val="DefaultParagraphFont"/>
    <w:link w:val="Footer"/>
    <w:uiPriority w:val="99"/>
    <w:rsid w:val="00C77762"/>
    <w:rPr>
      <w:rFonts w:ascii="Times New Roman" w:hAnsi="Times New Roman"/>
      <w:sz w:val="24"/>
    </w:rPr>
  </w:style>
  <w:style w:type="character" w:styleId="CommentReference">
    <w:name w:val="annotation reference"/>
    <w:basedOn w:val="DefaultParagraphFont"/>
    <w:uiPriority w:val="99"/>
    <w:semiHidden/>
    <w:unhideWhenUsed/>
    <w:rsid w:val="00F377C2"/>
    <w:rPr>
      <w:sz w:val="16"/>
      <w:szCs w:val="16"/>
    </w:rPr>
  </w:style>
  <w:style w:type="paragraph" w:styleId="CommentText">
    <w:name w:val="annotation text"/>
    <w:basedOn w:val="Normal"/>
    <w:link w:val="CommentTextChar"/>
    <w:uiPriority w:val="99"/>
    <w:semiHidden/>
    <w:unhideWhenUsed/>
    <w:rsid w:val="00F377C2"/>
    <w:pPr>
      <w:spacing w:line="240" w:lineRule="auto"/>
    </w:pPr>
    <w:rPr>
      <w:sz w:val="20"/>
      <w:szCs w:val="20"/>
    </w:rPr>
  </w:style>
  <w:style w:type="character" w:customStyle="1" w:styleId="CommentTextChar">
    <w:name w:val="Comment Text Char"/>
    <w:basedOn w:val="DefaultParagraphFont"/>
    <w:link w:val="CommentText"/>
    <w:uiPriority w:val="99"/>
    <w:semiHidden/>
    <w:rsid w:val="00F377C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77C2"/>
    <w:rPr>
      <w:b/>
      <w:bCs/>
    </w:rPr>
  </w:style>
  <w:style w:type="character" w:customStyle="1" w:styleId="CommentSubjectChar">
    <w:name w:val="Comment Subject Char"/>
    <w:basedOn w:val="CommentTextChar"/>
    <w:link w:val="CommentSubject"/>
    <w:uiPriority w:val="99"/>
    <w:semiHidden/>
    <w:rsid w:val="00F377C2"/>
    <w:rPr>
      <w:rFonts w:ascii="Times New Roman" w:hAnsi="Times New Roman"/>
      <w:b/>
      <w:bCs/>
      <w:sz w:val="20"/>
      <w:szCs w:val="20"/>
    </w:rPr>
  </w:style>
  <w:style w:type="paragraph" w:styleId="BalloonText">
    <w:name w:val="Balloon Text"/>
    <w:basedOn w:val="Normal"/>
    <w:link w:val="BalloonTextChar"/>
    <w:uiPriority w:val="99"/>
    <w:semiHidden/>
    <w:unhideWhenUsed/>
    <w:rsid w:val="00F377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pubNum=605&amp;cite=76NY2D161&amp;originatingDoc=Ie4ccd7c6d99311d9a489ee624f1f6e1a&amp;refType=RP&amp;fi=co_pp_sp_605_161&amp;originationContext=document&amp;transitionType=DocumentItem&amp;contextData=(sc.DocLin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William Donnino</dc:creator>
  <cp:keywords/>
  <dc:description/>
  <cp:lastModifiedBy>Katherine Breitenbach</cp:lastModifiedBy>
  <cp:revision>28</cp:revision>
  <cp:lastPrinted>2021-05-18T12:43:00Z</cp:lastPrinted>
  <dcterms:created xsi:type="dcterms:W3CDTF">2021-05-04T15:45:00Z</dcterms:created>
  <dcterms:modified xsi:type="dcterms:W3CDTF">2021-05-18T14:01:00Z</dcterms:modified>
</cp:coreProperties>
</file>