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6AE0" w14:textId="30D9C618" w:rsidR="006327DB" w:rsidRPr="00D13ECC" w:rsidRDefault="008944B1" w:rsidP="000C084F">
      <w:pPr>
        <w:pStyle w:val="ListParagraph"/>
        <w:numPr>
          <w:ilvl w:val="1"/>
          <w:numId w:val="5"/>
        </w:numPr>
        <w:shd w:val="clear" w:color="auto" w:fill="FFFFFF"/>
        <w:spacing w:before="0"/>
        <w:jc w:val="both"/>
        <w:rPr>
          <w:rFonts w:eastAsia="Times New Roman"/>
          <w:b/>
          <w:bCs/>
          <w:kern w:val="0"/>
          <w:sz w:val="28"/>
          <w:szCs w:val="28"/>
          <w14:ligatures w14:val="none"/>
        </w:rPr>
      </w:pPr>
      <w:r w:rsidRPr="00D13ECC">
        <w:rPr>
          <w:rFonts w:eastAsia="Times New Roman"/>
          <w:b/>
          <w:bCs/>
          <w:kern w:val="0"/>
          <w:sz w:val="28"/>
          <w:szCs w:val="28"/>
          <w14:ligatures w14:val="none"/>
        </w:rPr>
        <w:t>Presumption of Regularity</w:t>
      </w:r>
    </w:p>
    <w:p w14:paraId="1EAC8708" w14:textId="77777777" w:rsidR="006327DB" w:rsidRPr="00D13ECC" w:rsidRDefault="006327DB" w:rsidP="001A1FCA">
      <w:pPr>
        <w:shd w:val="clear" w:color="auto" w:fill="FFFFFF"/>
        <w:spacing w:before="0"/>
        <w:jc w:val="both"/>
        <w:rPr>
          <w:rFonts w:eastAsia="Times New Roman"/>
          <w:i/>
          <w:iCs/>
          <w:kern w:val="0"/>
          <w:sz w:val="28"/>
          <w:szCs w:val="28"/>
          <w14:ligatures w14:val="none"/>
        </w:rPr>
      </w:pPr>
    </w:p>
    <w:p w14:paraId="50B9BE32" w14:textId="50144303" w:rsidR="00B41702" w:rsidRPr="00D13ECC" w:rsidRDefault="008966B4" w:rsidP="008966B4">
      <w:pPr>
        <w:pStyle w:val="ListParagraph"/>
        <w:shd w:val="clear" w:color="auto" w:fill="FFFFFF"/>
        <w:spacing w:before="0"/>
        <w:ind w:right="720"/>
        <w:jc w:val="both"/>
        <w:rPr>
          <w:rFonts w:eastAsia="Times New Roman"/>
          <w:b/>
          <w:bCs/>
          <w:kern w:val="0"/>
          <w:sz w:val="28"/>
          <w:szCs w:val="28"/>
          <w14:ligatures w14:val="none"/>
        </w:rPr>
      </w:pPr>
      <w:r w:rsidRPr="00D13ECC">
        <w:rPr>
          <w:rFonts w:eastAsia="Times New Roman"/>
          <w:b/>
          <w:bCs/>
          <w:kern w:val="0"/>
          <w:sz w:val="28"/>
          <w:szCs w:val="28"/>
          <w14:ligatures w14:val="none"/>
        </w:rPr>
        <w:t xml:space="preserve">(1) </w:t>
      </w:r>
      <w:r w:rsidR="002D333C" w:rsidRPr="00D13ECC">
        <w:rPr>
          <w:rFonts w:eastAsia="Times New Roman"/>
          <w:b/>
          <w:bCs/>
          <w:kern w:val="0"/>
          <w:sz w:val="28"/>
          <w:szCs w:val="28"/>
          <w14:ligatures w14:val="none"/>
        </w:rPr>
        <w:t xml:space="preserve">In general, the </w:t>
      </w:r>
      <w:r w:rsidR="001075C9" w:rsidRPr="00D13ECC">
        <w:rPr>
          <w:rFonts w:eastAsia="Times New Roman"/>
          <w:b/>
          <w:bCs/>
          <w:kern w:val="0"/>
          <w:sz w:val="28"/>
          <w:szCs w:val="28"/>
          <w14:ligatures w14:val="none"/>
        </w:rPr>
        <w:t>presumption of regularity presumes</w:t>
      </w:r>
      <w:r w:rsidR="006F2DEE" w:rsidRPr="00D13ECC">
        <w:rPr>
          <w:rFonts w:eastAsia="Times New Roman"/>
          <w:b/>
          <w:bCs/>
          <w:kern w:val="0"/>
          <w:sz w:val="28"/>
          <w:szCs w:val="28"/>
          <w14:ligatures w14:val="none"/>
        </w:rPr>
        <w:t xml:space="preserve"> that no official or person acting under an oath of office will do anything contrary to </w:t>
      </w:r>
      <w:r w:rsidR="00017B94" w:rsidRPr="00D13ECC">
        <w:rPr>
          <w:rFonts w:eastAsia="Times New Roman"/>
          <w:b/>
          <w:bCs/>
          <w:kern w:val="0"/>
          <w:sz w:val="28"/>
          <w:szCs w:val="28"/>
          <w14:ligatures w14:val="none"/>
        </w:rPr>
        <w:t>their</w:t>
      </w:r>
      <w:r w:rsidR="006F2DEE" w:rsidRPr="00D13ECC">
        <w:rPr>
          <w:rFonts w:eastAsia="Times New Roman"/>
          <w:b/>
          <w:bCs/>
          <w:kern w:val="0"/>
          <w:sz w:val="28"/>
          <w:szCs w:val="28"/>
          <w14:ligatures w14:val="none"/>
        </w:rPr>
        <w:t xml:space="preserve"> official duty, or omit anything which </w:t>
      </w:r>
      <w:r w:rsidR="00017B94" w:rsidRPr="00D13ECC">
        <w:rPr>
          <w:rFonts w:eastAsia="Times New Roman"/>
          <w:b/>
          <w:bCs/>
          <w:kern w:val="0"/>
          <w:sz w:val="28"/>
          <w:szCs w:val="28"/>
          <w14:ligatures w14:val="none"/>
        </w:rPr>
        <w:t xml:space="preserve">their </w:t>
      </w:r>
      <w:r w:rsidR="006F2DEE" w:rsidRPr="00D13ECC">
        <w:rPr>
          <w:rFonts w:eastAsia="Times New Roman"/>
          <w:b/>
          <w:bCs/>
          <w:kern w:val="0"/>
          <w:sz w:val="28"/>
          <w:szCs w:val="28"/>
          <w14:ligatures w14:val="none"/>
        </w:rPr>
        <w:t>official duty requires to be done.</w:t>
      </w:r>
    </w:p>
    <w:p w14:paraId="3E3ADFE7" w14:textId="77777777" w:rsidR="00B41702" w:rsidRPr="00D13ECC" w:rsidRDefault="00B41702" w:rsidP="001A1FCA">
      <w:pPr>
        <w:shd w:val="clear" w:color="auto" w:fill="FFFFFF"/>
        <w:spacing w:before="0"/>
        <w:ind w:right="720"/>
        <w:jc w:val="both"/>
        <w:rPr>
          <w:rFonts w:eastAsia="Times New Roman"/>
          <w:b/>
          <w:bCs/>
          <w:kern w:val="0"/>
          <w:sz w:val="28"/>
          <w:szCs w:val="28"/>
          <w14:ligatures w14:val="none"/>
        </w:rPr>
      </w:pPr>
    </w:p>
    <w:p w14:paraId="6717DC77" w14:textId="3B73A8AB" w:rsidR="0018537B" w:rsidRPr="00D13ECC" w:rsidRDefault="008966B4" w:rsidP="008966B4">
      <w:pPr>
        <w:shd w:val="clear" w:color="auto" w:fill="FFFFFF"/>
        <w:spacing w:before="0"/>
        <w:ind w:left="720" w:right="720"/>
        <w:jc w:val="both"/>
        <w:rPr>
          <w:rFonts w:eastAsia="Times New Roman"/>
          <w:b/>
          <w:bCs/>
          <w:kern w:val="0"/>
          <w:sz w:val="28"/>
          <w:szCs w:val="28"/>
          <w14:ligatures w14:val="none"/>
        </w:rPr>
      </w:pPr>
      <w:r w:rsidRPr="00D13ECC">
        <w:rPr>
          <w:rFonts w:eastAsia="Times New Roman"/>
          <w:b/>
          <w:bCs/>
          <w:kern w:val="0"/>
          <w:sz w:val="28"/>
          <w:szCs w:val="28"/>
          <w14:ligatures w14:val="none"/>
        </w:rPr>
        <w:t xml:space="preserve">(2) </w:t>
      </w:r>
      <w:r w:rsidR="00B41702" w:rsidRPr="00D13ECC">
        <w:rPr>
          <w:rFonts w:eastAsia="Times New Roman"/>
          <w:b/>
          <w:bCs/>
          <w:kern w:val="0"/>
          <w:sz w:val="28"/>
          <w:szCs w:val="28"/>
          <w14:ligatures w14:val="none"/>
        </w:rPr>
        <w:t>In accord with the presumption of regularity,</w:t>
      </w:r>
    </w:p>
    <w:p w14:paraId="1971A257" w14:textId="77777777" w:rsidR="0018537B" w:rsidRPr="00D13ECC" w:rsidRDefault="0018537B" w:rsidP="001A1FCA">
      <w:pPr>
        <w:spacing w:before="0"/>
        <w:jc w:val="both"/>
        <w:rPr>
          <w:rFonts w:eastAsia="Times New Roman"/>
          <w:b/>
          <w:bCs/>
          <w:kern w:val="0"/>
          <w:sz w:val="28"/>
          <w:szCs w:val="28"/>
          <w14:ligatures w14:val="none"/>
        </w:rPr>
      </w:pPr>
    </w:p>
    <w:p w14:paraId="31259D4A" w14:textId="48B12DCB" w:rsidR="00F833C3" w:rsidRPr="00D13ECC" w:rsidRDefault="008966B4" w:rsidP="008966B4">
      <w:pPr>
        <w:pStyle w:val="ListParagraph"/>
        <w:shd w:val="clear" w:color="auto" w:fill="FFFFFF"/>
        <w:spacing w:before="0"/>
        <w:ind w:left="1080" w:right="720"/>
        <w:jc w:val="both"/>
        <w:rPr>
          <w:rFonts w:eastAsia="Times New Roman"/>
          <w:b/>
          <w:bCs/>
          <w:kern w:val="0"/>
          <w:sz w:val="28"/>
          <w:szCs w:val="28"/>
          <w14:ligatures w14:val="none"/>
        </w:rPr>
      </w:pPr>
      <w:r w:rsidRPr="00D13ECC">
        <w:rPr>
          <w:rFonts w:eastAsia="Times New Roman"/>
          <w:b/>
          <w:bCs/>
          <w:kern w:val="0"/>
          <w:sz w:val="28"/>
          <w:szCs w:val="28"/>
          <w14:ligatures w14:val="none"/>
        </w:rPr>
        <w:t xml:space="preserve">(a) </w:t>
      </w:r>
      <w:r w:rsidR="00B41702" w:rsidRPr="00D13ECC">
        <w:rPr>
          <w:rFonts w:eastAsia="Times New Roman"/>
          <w:b/>
          <w:bCs/>
          <w:kern w:val="0"/>
          <w:sz w:val="28"/>
          <w:szCs w:val="28"/>
          <w14:ligatures w14:val="none"/>
        </w:rPr>
        <w:t>the</w:t>
      </w:r>
      <w:r w:rsidR="00F113E2" w:rsidRPr="00D13ECC">
        <w:rPr>
          <w:rFonts w:eastAsia="Times New Roman"/>
          <w:b/>
          <w:bCs/>
          <w:kern w:val="0"/>
          <w:sz w:val="28"/>
          <w:szCs w:val="28"/>
          <w14:ligatures w14:val="none"/>
        </w:rPr>
        <w:t xml:space="preserve"> acts of a public officer</w:t>
      </w:r>
      <w:r w:rsidR="00563386" w:rsidRPr="00D13ECC">
        <w:rPr>
          <w:rFonts w:eastAsia="Times New Roman"/>
          <w:b/>
          <w:bCs/>
          <w:kern w:val="0"/>
          <w:sz w:val="28"/>
          <w:szCs w:val="28"/>
          <w14:ligatures w14:val="none"/>
        </w:rPr>
        <w:t>,</w:t>
      </w:r>
      <w:r w:rsidR="00F113E2" w:rsidRPr="00D13ECC">
        <w:rPr>
          <w:rFonts w:eastAsia="Times New Roman"/>
          <w:b/>
          <w:bCs/>
          <w:kern w:val="0"/>
          <w:sz w:val="28"/>
          <w:szCs w:val="28"/>
          <w14:ligatures w14:val="none"/>
        </w:rPr>
        <w:t xml:space="preserve"> which presuppose the existence of other acts or conditions to make them legally operative</w:t>
      </w:r>
      <w:r w:rsidR="00563386" w:rsidRPr="00D13ECC">
        <w:rPr>
          <w:rFonts w:eastAsia="Times New Roman"/>
          <w:b/>
          <w:bCs/>
          <w:kern w:val="0"/>
          <w:sz w:val="28"/>
          <w:szCs w:val="28"/>
          <w14:ligatures w14:val="none"/>
        </w:rPr>
        <w:t>,</w:t>
      </w:r>
      <w:r w:rsidR="00F113E2" w:rsidRPr="00D13ECC">
        <w:rPr>
          <w:rFonts w:eastAsia="Times New Roman"/>
          <w:b/>
          <w:bCs/>
          <w:kern w:val="0"/>
          <w:sz w:val="28"/>
          <w:szCs w:val="28"/>
          <w14:ligatures w14:val="none"/>
        </w:rPr>
        <w:t xml:space="preserve"> are presumptive proofs </w:t>
      </w:r>
      <w:r w:rsidR="001E4FE8" w:rsidRPr="00D13ECC">
        <w:rPr>
          <w:rFonts w:eastAsia="Times New Roman"/>
          <w:b/>
          <w:bCs/>
          <w:kern w:val="0"/>
          <w:sz w:val="28"/>
          <w:szCs w:val="28"/>
          <w14:ligatures w14:val="none"/>
        </w:rPr>
        <w:t>of the</w:t>
      </w:r>
      <w:r w:rsidR="006543A4" w:rsidRPr="00D13ECC">
        <w:rPr>
          <w:rFonts w:eastAsia="Times New Roman"/>
          <w:b/>
          <w:bCs/>
          <w:kern w:val="0"/>
          <w:sz w:val="28"/>
          <w:szCs w:val="28"/>
          <w14:ligatures w14:val="none"/>
        </w:rPr>
        <w:t xml:space="preserve"> performance of the </w:t>
      </w:r>
      <w:r w:rsidR="007E4C9C" w:rsidRPr="00D13ECC">
        <w:rPr>
          <w:rFonts w:eastAsia="Times New Roman"/>
          <w:b/>
          <w:bCs/>
          <w:kern w:val="0"/>
          <w:sz w:val="28"/>
          <w:szCs w:val="28"/>
          <w14:ligatures w14:val="none"/>
        </w:rPr>
        <w:t xml:space="preserve">applicable </w:t>
      </w:r>
      <w:r w:rsidR="009418F8" w:rsidRPr="00D13ECC">
        <w:rPr>
          <w:rFonts w:eastAsia="Times New Roman"/>
          <w:b/>
          <w:bCs/>
          <w:kern w:val="0"/>
          <w:sz w:val="28"/>
          <w:szCs w:val="28"/>
          <w14:ligatures w14:val="none"/>
        </w:rPr>
        <w:t>acts or conditions</w:t>
      </w:r>
      <w:r w:rsidR="00F9110B" w:rsidRPr="00D13ECC">
        <w:rPr>
          <w:rFonts w:eastAsia="Times New Roman"/>
          <w:b/>
          <w:bCs/>
          <w:kern w:val="0"/>
          <w:sz w:val="28"/>
          <w:szCs w:val="28"/>
          <w14:ligatures w14:val="none"/>
        </w:rPr>
        <w:t>; and</w:t>
      </w:r>
    </w:p>
    <w:p w14:paraId="693C93D4" w14:textId="77777777" w:rsidR="00D8544C" w:rsidRPr="00D13ECC" w:rsidRDefault="00D8544C" w:rsidP="001A1FCA">
      <w:pPr>
        <w:shd w:val="clear" w:color="auto" w:fill="FFFFFF"/>
        <w:spacing w:before="0"/>
        <w:ind w:right="720"/>
        <w:jc w:val="both"/>
        <w:rPr>
          <w:rFonts w:eastAsia="Times New Roman"/>
          <w:b/>
          <w:bCs/>
          <w:kern w:val="0"/>
          <w:sz w:val="28"/>
          <w:szCs w:val="28"/>
          <w14:ligatures w14:val="none"/>
        </w:rPr>
      </w:pPr>
    </w:p>
    <w:p w14:paraId="2229AC1F" w14:textId="2F471B32" w:rsidR="005F7C62" w:rsidRPr="00D13ECC" w:rsidRDefault="008966B4" w:rsidP="008966B4">
      <w:pPr>
        <w:pStyle w:val="ListParagraph"/>
        <w:shd w:val="clear" w:color="auto" w:fill="FFFFFF"/>
        <w:spacing w:before="0"/>
        <w:ind w:left="1080" w:right="720"/>
        <w:jc w:val="both"/>
        <w:rPr>
          <w:rFonts w:eastAsia="Times New Roman"/>
          <w:b/>
          <w:bCs/>
          <w:kern w:val="0"/>
          <w:sz w:val="28"/>
          <w:szCs w:val="28"/>
          <w14:ligatures w14:val="none"/>
        </w:rPr>
      </w:pPr>
      <w:bookmarkStart w:id="0" w:name="_Hlk143180159"/>
      <w:r w:rsidRPr="00D13ECC">
        <w:rPr>
          <w:rFonts w:eastAsia="Times New Roman"/>
          <w:b/>
          <w:bCs/>
          <w:kern w:val="0"/>
          <w:sz w:val="28"/>
          <w:szCs w:val="28"/>
          <w14:ligatures w14:val="none"/>
        </w:rPr>
        <w:t xml:space="preserve">(b) </w:t>
      </w:r>
      <w:r w:rsidR="00C863CB" w:rsidRPr="00D13ECC">
        <w:rPr>
          <w:rFonts w:eastAsia="Times New Roman"/>
          <w:b/>
          <w:bCs/>
          <w:kern w:val="0"/>
          <w:sz w:val="28"/>
          <w:szCs w:val="28"/>
          <w14:ligatures w14:val="none"/>
        </w:rPr>
        <w:t>a public official is presumed to act</w:t>
      </w:r>
      <w:r w:rsidR="00AD3989" w:rsidRPr="00D13ECC">
        <w:rPr>
          <w:rFonts w:eastAsia="Times New Roman"/>
          <w:b/>
          <w:bCs/>
          <w:kern w:val="0"/>
          <w:sz w:val="28"/>
          <w:szCs w:val="28"/>
          <w14:ligatures w14:val="none"/>
        </w:rPr>
        <w:t xml:space="preserve"> honestly and</w:t>
      </w:r>
      <w:r w:rsidR="00C863CB" w:rsidRPr="00D13ECC">
        <w:rPr>
          <w:rFonts w:eastAsia="Times New Roman"/>
          <w:b/>
          <w:bCs/>
          <w:kern w:val="0"/>
          <w:sz w:val="28"/>
          <w:szCs w:val="28"/>
          <w14:ligatures w14:val="none"/>
        </w:rPr>
        <w:t xml:space="preserve"> in good faith.</w:t>
      </w:r>
    </w:p>
    <w:bookmarkEnd w:id="0"/>
    <w:p w14:paraId="2DF225E9" w14:textId="77777777" w:rsidR="00C863CB" w:rsidRPr="00D13ECC" w:rsidRDefault="00C863CB" w:rsidP="001A1FCA">
      <w:pPr>
        <w:spacing w:before="0"/>
        <w:jc w:val="both"/>
        <w:rPr>
          <w:rFonts w:eastAsia="Times New Roman"/>
          <w:b/>
          <w:bCs/>
          <w:kern w:val="0"/>
          <w:sz w:val="28"/>
          <w:szCs w:val="28"/>
          <w14:ligatures w14:val="none"/>
        </w:rPr>
      </w:pPr>
    </w:p>
    <w:p w14:paraId="67580A84" w14:textId="7F81544B" w:rsidR="0060644A" w:rsidRPr="00D13ECC" w:rsidRDefault="008966B4" w:rsidP="008966B4">
      <w:pPr>
        <w:pStyle w:val="ListParagraph"/>
        <w:shd w:val="clear" w:color="auto" w:fill="FFFFFF"/>
        <w:spacing w:before="0"/>
        <w:ind w:right="720"/>
        <w:jc w:val="both"/>
        <w:rPr>
          <w:rFonts w:eastAsia="Times New Roman"/>
          <w:b/>
          <w:bCs/>
          <w:kern w:val="0"/>
          <w:sz w:val="28"/>
          <w:szCs w:val="28"/>
          <w14:ligatures w14:val="none"/>
        </w:rPr>
      </w:pPr>
      <w:r w:rsidRPr="00D13ECC">
        <w:rPr>
          <w:rFonts w:eastAsia="Times New Roman"/>
          <w:b/>
          <w:bCs/>
          <w:kern w:val="0"/>
          <w:sz w:val="28"/>
          <w:szCs w:val="28"/>
          <w14:ligatures w14:val="none"/>
        </w:rPr>
        <w:t xml:space="preserve">(3) </w:t>
      </w:r>
      <w:r w:rsidR="0060644A" w:rsidRPr="00D13ECC">
        <w:rPr>
          <w:rFonts w:eastAsia="Times New Roman"/>
          <w:b/>
          <w:bCs/>
          <w:kern w:val="0"/>
          <w:sz w:val="28"/>
          <w:szCs w:val="28"/>
          <w14:ligatures w14:val="none"/>
        </w:rPr>
        <w:t>A presumption of regularity attaches to judicial proceedings.</w:t>
      </w:r>
    </w:p>
    <w:p w14:paraId="61E6D8F7" w14:textId="77777777" w:rsidR="0060644A" w:rsidRPr="00D13ECC" w:rsidRDefault="0060644A" w:rsidP="001A1FCA">
      <w:pPr>
        <w:spacing w:before="0"/>
        <w:ind w:right="720"/>
        <w:jc w:val="both"/>
        <w:rPr>
          <w:rFonts w:eastAsia="Times New Roman"/>
          <w:b/>
          <w:bCs/>
          <w:kern w:val="0"/>
          <w:sz w:val="28"/>
          <w:szCs w:val="28"/>
          <w14:ligatures w14:val="none"/>
        </w:rPr>
      </w:pPr>
    </w:p>
    <w:p w14:paraId="70B16E71" w14:textId="4199CD96" w:rsidR="0060644A" w:rsidRPr="00D13ECC" w:rsidRDefault="008966B4" w:rsidP="008966B4">
      <w:pPr>
        <w:pStyle w:val="ListParagraph"/>
        <w:shd w:val="clear" w:color="auto" w:fill="FFFFFF"/>
        <w:spacing w:before="0"/>
        <w:ind w:right="720"/>
        <w:jc w:val="both"/>
        <w:rPr>
          <w:rFonts w:eastAsia="Times New Roman"/>
          <w:b/>
          <w:bCs/>
          <w:kern w:val="0"/>
          <w:sz w:val="28"/>
          <w:szCs w:val="28"/>
          <w14:ligatures w14:val="none"/>
        </w:rPr>
      </w:pPr>
      <w:r w:rsidRPr="00D13ECC">
        <w:rPr>
          <w:rFonts w:eastAsia="Times New Roman"/>
          <w:b/>
          <w:bCs/>
          <w:kern w:val="0"/>
          <w:sz w:val="28"/>
          <w:szCs w:val="28"/>
          <w14:ligatures w14:val="none"/>
        </w:rPr>
        <w:t xml:space="preserve">(4) </w:t>
      </w:r>
      <w:r w:rsidR="006D77E0" w:rsidRPr="00D13ECC">
        <w:rPr>
          <w:rFonts w:eastAsia="Times New Roman"/>
          <w:b/>
          <w:bCs/>
          <w:kern w:val="0"/>
          <w:sz w:val="28"/>
          <w:szCs w:val="28"/>
          <w14:ligatures w14:val="none"/>
        </w:rPr>
        <w:t>Substantial evidence is required to overcome a presumption of regularity.</w:t>
      </w:r>
    </w:p>
    <w:p w14:paraId="5B8FA1E1" w14:textId="77777777" w:rsidR="005E188D" w:rsidRPr="00D13ECC" w:rsidRDefault="005E188D" w:rsidP="001A1FCA">
      <w:pPr>
        <w:shd w:val="clear" w:color="auto" w:fill="FFFFFF"/>
        <w:spacing w:before="0"/>
        <w:jc w:val="both"/>
        <w:rPr>
          <w:rFonts w:eastAsia="Times New Roman"/>
          <w:kern w:val="0"/>
          <w:sz w:val="28"/>
          <w:szCs w:val="28"/>
          <w14:ligatures w14:val="none"/>
        </w:rPr>
      </w:pPr>
    </w:p>
    <w:p w14:paraId="733E5E07" w14:textId="16AA45DF" w:rsidR="005E188D" w:rsidRPr="00D13ECC" w:rsidRDefault="005E188D" w:rsidP="001A1FCA">
      <w:pPr>
        <w:shd w:val="clear" w:color="auto" w:fill="FFFFFF"/>
        <w:spacing w:before="0"/>
        <w:jc w:val="center"/>
        <w:rPr>
          <w:rFonts w:eastAsia="Times New Roman"/>
          <w:b/>
          <w:bCs/>
          <w:kern w:val="0"/>
          <w14:ligatures w14:val="none"/>
        </w:rPr>
      </w:pPr>
      <w:r w:rsidRPr="00D13ECC">
        <w:rPr>
          <w:rFonts w:eastAsia="Times New Roman"/>
          <w:b/>
          <w:bCs/>
          <w:kern w:val="0"/>
          <w14:ligatures w14:val="none"/>
        </w:rPr>
        <w:t>Note</w:t>
      </w:r>
    </w:p>
    <w:p w14:paraId="4F31FD5E" w14:textId="77777777" w:rsidR="005E188D" w:rsidRPr="00D13ECC" w:rsidRDefault="005E188D" w:rsidP="001A1FCA">
      <w:pPr>
        <w:shd w:val="clear" w:color="auto" w:fill="FFFFFF"/>
        <w:spacing w:before="0"/>
        <w:jc w:val="both"/>
        <w:rPr>
          <w:rFonts w:eastAsia="Times New Roman"/>
          <w:kern w:val="0"/>
          <w14:ligatures w14:val="none"/>
        </w:rPr>
      </w:pPr>
    </w:p>
    <w:p w14:paraId="4AF4654D" w14:textId="7E5FADA6" w:rsidR="005E188D" w:rsidRPr="00D13ECC" w:rsidRDefault="00A12B62" w:rsidP="001A1FCA">
      <w:pPr>
        <w:shd w:val="clear" w:color="auto" w:fill="FFFFFF"/>
        <w:spacing w:before="0"/>
        <w:jc w:val="both"/>
        <w:rPr>
          <w:rFonts w:eastAsia="Times New Roman"/>
          <w:kern w:val="0"/>
          <w14:ligatures w14:val="none"/>
        </w:rPr>
      </w:pPr>
      <w:r w:rsidRPr="00D13ECC">
        <w:rPr>
          <w:rFonts w:eastAsia="Times New Roman"/>
          <w:kern w:val="0"/>
          <w14:ligatures w14:val="none"/>
        </w:rPr>
        <w:tab/>
        <w:t>The presumption of regularity is well established in the common law of New York</w:t>
      </w:r>
      <w:r w:rsidR="009F0927" w:rsidRPr="00D13ECC">
        <w:rPr>
          <w:rFonts w:eastAsia="Times New Roman"/>
          <w:kern w:val="0"/>
          <w14:ligatures w14:val="none"/>
        </w:rPr>
        <w:t xml:space="preserve">. </w:t>
      </w:r>
      <w:r w:rsidR="0080644C" w:rsidRPr="00D13ECC">
        <w:rPr>
          <w:rFonts w:eastAsia="Times New Roman"/>
          <w:kern w:val="0"/>
          <w14:ligatures w14:val="none"/>
        </w:rPr>
        <w:t>For examples of statutory law</w:t>
      </w:r>
      <w:r w:rsidR="00204A60" w:rsidRPr="00D13ECC">
        <w:rPr>
          <w:rFonts w:eastAsia="Times New Roman"/>
          <w:kern w:val="0"/>
          <w14:ligatures w14:val="none"/>
        </w:rPr>
        <w:t xml:space="preserve"> derived from the </w:t>
      </w:r>
      <w:r w:rsidR="00B83363" w:rsidRPr="00D13ECC">
        <w:rPr>
          <w:rFonts w:eastAsia="Times New Roman"/>
          <w:kern w:val="0"/>
          <w14:ligatures w14:val="none"/>
        </w:rPr>
        <w:t>common</w:t>
      </w:r>
      <w:r w:rsidR="00461F66" w:rsidRPr="00D13ECC">
        <w:rPr>
          <w:rFonts w:eastAsia="Times New Roman"/>
          <w:kern w:val="0"/>
          <w14:ligatures w14:val="none"/>
        </w:rPr>
        <w:t>-</w:t>
      </w:r>
      <w:r w:rsidR="00B83363" w:rsidRPr="00D13ECC">
        <w:rPr>
          <w:rFonts w:eastAsia="Times New Roman"/>
          <w:kern w:val="0"/>
          <w14:ligatures w14:val="none"/>
        </w:rPr>
        <w:t xml:space="preserve">law </w:t>
      </w:r>
      <w:r w:rsidR="00204A60" w:rsidRPr="00D13ECC">
        <w:rPr>
          <w:rFonts w:eastAsia="Times New Roman"/>
          <w:kern w:val="0"/>
          <w14:ligatures w14:val="none"/>
        </w:rPr>
        <w:t>presumption of regularity</w:t>
      </w:r>
      <w:r w:rsidR="0080644C" w:rsidRPr="00D13ECC">
        <w:rPr>
          <w:rFonts w:eastAsia="Times New Roman"/>
          <w:kern w:val="0"/>
          <w14:ligatures w14:val="none"/>
        </w:rPr>
        <w:t>, see</w:t>
      </w:r>
      <w:r w:rsidR="00B1684C" w:rsidRPr="00D13ECC">
        <w:rPr>
          <w:rFonts w:eastAsia="Times New Roman"/>
          <w:kern w:val="0"/>
          <w14:ligatures w14:val="none"/>
        </w:rPr>
        <w:t>:</w:t>
      </w:r>
      <w:r w:rsidRPr="00D13ECC">
        <w:rPr>
          <w:rFonts w:eastAsia="Times New Roman"/>
          <w:kern w:val="0"/>
          <w14:ligatures w14:val="none"/>
        </w:rPr>
        <w:t xml:space="preserve"> CPL</w:t>
      </w:r>
      <w:r w:rsidR="00373AEB" w:rsidRPr="00D13ECC">
        <w:rPr>
          <w:rFonts w:eastAsia="Times New Roman"/>
          <w:kern w:val="0"/>
          <w14:ligatures w14:val="none"/>
        </w:rPr>
        <w:t xml:space="preserve">R 4520 </w:t>
      </w:r>
      <w:r w:rsidR="007A77E2" w:rsidRPr="00D13ECC">
        <w:rPr>
          <w:rFonts w:eastAsia="Times New Roman"/>
          <w:kern w:val="0"/>
          <w14:ligatures w14:val="none"/>
        </w:rPr>
        <w:t>(</w:t>
      </w:r>
      <w:r w:rsidR="004C68C9" w:rsidRPr="00D13ECC">
        <w:rPr>
          <w:rFonts w:eastAsia="Times New Roman"/>
          <w:kern w:val="0"/>
          <w14:ligatures w14:val="none"/>
        </w:rPr>
        <w:t xml:space="preserve">a </w:t>
      </w:r>
      <w:r w:rsidR="002D2C6B" w:rsidRPr="00D13ECC">
        <w:rPr>
          <w:rFonts w:eastAsia="Times New Roman"/>
          <w:kern w:val="0"/>
          <w14:ligatures w14:val="none"/>
        </w:rPr>
        <w:t xml:space="preserve">certificate or affidavit of </w:t>
      </w:r>
      <w:r w:rsidR="004C68C9" w:rsidRPr="00D13ECC">
        <w:rPr>
          <w:rFonts w:eastAsia="Times New Roman"/>
          <w:kern w:val="0"/>
          <w14:ligatures w14:val="none"/>
        </w:rPr>
        <w:t xml:space="preserve">a </w:t>
      </w:r>
      <w:r w:rsidR="002D2C6B" w:rsidRPr="00D13ECC">
        <w:rPr>
          <w:rFonts w:eastAsia="Times New Roman"/>
          <w:kern w:val="0"/>
          <w14:ligatures w14:val="none"/>
        </w:rPr>
        <w:t xml:space="preserve">public officer deposited in </w:t>
      </w:r>
      <w:r w:rsidR="00E66BE2" w:rsidRPr="00D13ECC">
        <w:rPr>
          <w:rFonts w:eastAsia="Times New Roman"/>
          <w:kern w:val="0"/>
          <w14:ligatures w14:val="none"/>
        </w:rPr>
        <w:t xml:space="preserve">a </w:t>
      </w:r>
      <w:r w:rsidR="002D2C6B" w:rsidRPr="00D13ECC">
        <w:rPr>
          <w:rFonts w:eastAsia="Times New Roman"/>
          <w:kern w:val="0"/>
          <w14:ligatures w14:val="none"/>
        </w:rPr>
        <w:t>public offic</w:t>
      </w:r>
      <w:r w:rsidR="00075655" w:rsidRPr="00D13ECC">
        <w:rPr>
          <w:rFonts w:eastAsia="Times New Roman"/>
          <w:kern w:val="0"/>
          <w14:ligatures w14:val="none"/>
        </w:rPr>
        <w:t>e is prima facie evidence of its contents</w:t>
      </w:r>
      <w:r w:rsidR="007A77E2" w:rsidRPr="00D13ECC">
        <w:rPr>
          <w:rFonts w:eastAsia="Times New Roman"/>
          <w:kern w:val="0"/>
          <w14:ligatures w14:val="none"/>
        </w:rPr>
        <w:t>)</w:t>
      </w:r>
      <w:r w:rsidR="00075655" w:rsidRPr="00D13ECC">
        <w:rPr>
          <w:rFonts w:eastAsia="Times New Roman"/>
          <w:kern w:val="0"/>
          <w14:ligatures w14:val="none"/>
        </w:rPr>
        <w:t xml:space="preserve">; </w:t>
      </w:r>
      <w:r w:rsidR="00B1684C" w:rsidRPr="00D13ECC">
        <w:rPr>
          <w:rFonts w:eastAsia="Times New Roman"/>
          <w:kern w:val="0"/>
          <w14:ligatures w14:val="none"/>
        </w:rPr>
        <w:t xml:space="preserve">CPLR 4521 </w:t>
      </w:r>
      <w:r w:rsidR="007A77E2" w:rsidRPr="00D13ECC">
        <w:rPr>
          <w:rFonts w:eastAsia="Times New Roman"/>
          <w:kern w:val="0"/>
          <w14:ligatures w14:val="none"/>
        </w:rPr>
        <w:t>(</w:t>
      </w:r>
      <w:r w:rsidR="00BB1D5A" w:rsidRPr="00D13ECC">
        <w:rPr>
          <w:rFonts w:eastAsia="Times New Roman"/>
          <w:kern w:val="0"/>
          <w14:ligatures w14:val="none"/>
        </w:rPr>
        <w:t xml:space="preserve">a </w:t>
      </w:r>
      <w:r w:rsidR="00A52E02" w:rsidRPr="00D13ECC">
        <w:rPr>
          <w:rFonts w:eastAsia="Times New Roman"/>
          <w:kern w:val="0"/>
          <w14:ligatures w14:val="none"/>
        </w:rPr>
        <w:t xml:space="preserve">statement of </w:t>
      </w:r>
      <w:r w:rsidR="00911F89" w:rsidRPr="00D13ECC">
        <w:rPr>
          <w:rFonts w:eastAsia="Times New Roman"/>
          <w:kern w:val="0"/>
          <w14:ligatures w14:val="none"/>
        </w:rPr>
        <w:t xml:space="preserve">a </w:t>
      </w:r>
      <w:r w:rsidR="00A52E02" w:rsidRPr="00D13ECC">
        <w:rPr>
          <w:rFonts w:eastAsia="Times New Roman"/>
          <w:kern w:val="0"/>
          <w14:ligatures w14:val="none"/>
        </w:rPr>
        <w:t xml:space="preserve">government official that </w:t>
      </w:r>
      <w:r w:rsidR="00BB1D5A" w:rsidRPr="00D13ECC">
        <w:rPr>
          <w:rFonts w:eastAsia="Times New Roman"/>
          <w:kern w:val="0"/>
          <w14:ligatures w14:val="none"/>
        </w:rPr>
        <w:t xml:space="preserve">a </w:t>
      </w:r>
      <w:r w:rsidR="00A52E02" w:rsidRPr="00D13ECC">
        <w:rPr>
          <w:rFonts w:eastAsia="Times New Roman"/>
          <w:kern w:val="0"/>
          <w14:ligatures w14:val="none"/>
        </w:rPr>
        <w:t xml:space="preserve">public record </w:t>
      </w:r>
      <w:r w:rsidR="00923F70" w:rsidRPr="00D13ECC">
        <w:rPr>
          <w:rFonts w:eastAsia="Times New Roman"/>
          <w:kern w:val="0"/>
          <w14:ligatures w14:val="none"/>
        </w:rPr>
        <w:t xml:space="preserve">has not been found is prima facie evidence </w:t>
      </w:r>
      <w:r w:rsidR="00467494" w:rsidRPr="00D13ECC">
        <w:rPr>
          <w:rFonts w:eastAsia="Times New Roman"/>
          <w:kern w:val="0"/>
          <w14:ligatures w14:val="none"/>
        </w:rPr>
        <w:t>that there is no such record</w:t>
      </w:r>
      <w:r w:rsidR="007A77E2" w:rsidRPr="00D13ECC">
        <w:rPr>
          <w:rFonts w:eastAsia="Times New Roman"/>
          <w:kern w:val="0"/>
          <w14:ligatures w14:val="none"/>
        </w:rPr>
        <w:t>)</w:t>
      </w:r>
      <w:r w:rsidR="00467494" w:rsidRPr="00D13ECC">
        <w:rPr>
          <w:rFonts w:eastAsia="Times New Roman"/>
          <w:kern w:val="0"/>
          <w14:ligatures w14:val="none"/>
        </w:rPr>
        <w:t>; Guide to N</w:t>
      </w:r>
      <w:r w:rsidR="007A77E2" w:rsidRPr="00D13ECC">
        <w:rPr>
          <w:rFonts w:eastAsia="Times New Roman"/>
          <w:kern w:val="0"/>
          <w14:ligatures w14:val="none"/>
        </w:rPr>
        <w:t xml:space="preserve">ew </w:t>
      </w:r>
      <w:r w:rsidR="00467494" w:rsidRPr="00D13ECC">
        <w:rPr>
          <w:rFonts w:eastAsia="Times New Roman"/>
          <w:kern w:val="0"/>
          <w14:ligatures w14:val="none"/>
        </w:rPr>
        <w:t>Y</w:t>
      </w:r>
      <w:r w:rsidR="007A77E2" w:rsidRPr="00D13ECC">
        <w:rPr>
          <w:rFonts w:eastAsia="Times New Roman"/>
          <w:kern w:val="0"/>
          <w14:ligatures w14:val="none"/>
        </w:rPr>
        <w:t>ork</w:t>
      </w:r>
      <w:r w:rsidR="00467494" w:rsidRPr="00D13ECC">
        <w:rPr>
          <w:rFonts w:eastAsia="Times New Roman"/>
          <w:kern w:val="0"/>
          <w14:ligatures w14:val="none"/>
        </w:rPr>
        <w:t xml:space="preserve"> Evidence rule 3.21</w:t>
      </w:r>
      <w:r w:rsidR="007A77E2" w:rsidRPr="00D13ECC">
        <w:rPr>
          <w:rFonts w:eastAsia="Times New Roman"/>
          <w:kern w:val="0"/>
          <w14:ligatures w14:val="none"/>
        </w:rPr>
        <w:t xml:space="preserve"> (Lack of Record).</w:t>
      </w:r>
    </w:p>
    <w:p w14:paraId="045CC88B" w14:textId="77777777" w:rsidR="007974A1" w:rsidRPr="00D13ECC" w:rsidRDefault="007974A1" w:rsidP="001A1FCA">
      <w:pPr>
        <w:shd w:val="clear" w:color="auto" w:fill="FFFFFF"/>
        <w:spacing w:before="0"/>
        <w:jc w:val="both"/>
        <w:rPr>
          <w:rFonts w:eastAsia="Times New Roman"/>
          <w:kern w:val="0"/>
          <w14:ligatures w14:val="none"/>
        </w:rPr>
      </w:pPr>
    </w:p>
    <w:p w14:paraId="2D80ABD0" w14:textId="0D85A9F6" w:rsidR="00F83684" w:rsidRPr="00D13ECC" w:rsidRDefault="007974A1" w:rsidP="001A1FCA">
      <w:pPr>
        <w:shd w:val="clear" w:color="auto" w:fill="FFFFFF"/>
        <w:spacing w:before="0"/>
        <w:jc w:val="both"/>
        <w:rPr>
          <w:rFonts w:eastAsia="Times New Roman"/>
          <w:kern w:val="0"/>
          <w14:ligatures w14:val="none"/>
        </w:rPr>
      </w:pPr>
      <w:r w:rsidRPr="00D13ECC">
        <w:rPr>
          <w:rFonts w:eastAsia="Times New Roman"/>
          <w:kern w:val="0"/>
          <w14:ligatures w14:val="none"/>
        </w:rPr>
        <w:tab/>
      </w:r>
      <w:r w:rsidRPr="00D13ECC">
        <w:rPr>
          <w:rFonts w:eastAsia="Times New Roman"/>
          <w:b/>
          <w:bCs/>
          <w:kern w:val="0"/>
          <w14:ligatures w14:val="none"/>
        </w:rPr>
        <w:t>Subdivision (1)</w:t>
      </w:r>
      <w:r w:rsidRPr="00D13ECC">
        <w:rPr>
          <w:rFonts w:eastAsia="Times New Roman"/>
          <w:kern w:val="0"/>
          <w14:ligatures w14:val="none"/>
        </w:rPr>
        <w:t xml:space="preserve"> </w:t>
      </w:r>
      <w:r w:rsidR="000122BB" w:rsidRPr="00D13ECC">
        <w:rPr>
          <w:rFonts w:eastAsia="Times New Roman"/>
          <w:kern w:val="0"/>
          <w14:ligatures w14:val="none"/>
        </w:rPr>
        <w:t>defines</w:t>
      </w:r>
      <w:r w:rsidRPr="00D13ECC">
        <w:rPr>
          <w:rFonts w:eastAsia="Times New Roman"/>
          <w:kern w:val="0"/>
          <w14:ligatures w14:val="none"/>
        </w:rPr>
        <w:t xml:space="preserve"> the </w:t>
      </w:r>
      <w:r w:rsidR="000122BB" w:rsidRPr="00D13ECC">
        <w:rPr>
          <w:rFonts w:eastAsia="Times New Roman"/>
          <w:kern w:val="0"/>
          <w14:ligatures w14:val="none"/>
        </w:rPr>
        <w:t>presumption</w:t>
      </w:r>
      <w:r w:rsidRPr="00D13ECC">
        <w:rPr>
          <w:rFonts w:eastAsia="Times New Roman"/>
          <w:kern w:val="0"/>
          <w14:ligatures w14:val="none"/>
        </w:rPr>
        <w:t xml:space="preserve"> </w:t>
      </w:r>
      <w:r w:rsidR="000122BB" w:rsidRPr="00D13ECC">
        <w:rPr>
          <w:rFonts w:eastAsia="Times New Roman"/>
          <w:kern w:val="0"/>
          <w14:ligatures w14:val="none"/>
        </w:rPr>
        <w:t xml:space="preserve">of regularity as </w:t>
      </w:r>
      <w:r w:rsidR="00220F6A" w:rsidRPr="00D13ECC">
        <w:rPr>
          <w:rFonts w:eastAsia="Times New Roman"/>
          <w:kern w:val="0"/>
          <w14:ligatures w14:val="none"/>
        </w:rPr>
        <w:t xml:space="preserve">set forth in the seminal case of </w:t>
      </w:r>
      <w:r w:rsidR="007F2D64" w:rsidRPr="00D13ECC">
        <w:rPr>
          <w:rFonts w:eastAsia="Times New Roman"/>
          <w:i/>
          <w:iCs/>
          <w:kern w:val="0"/>
          <w14:ligatures w14:val="none"/>
        </w:rPr>
        <w:t>Matter of</w:t>
      </w:r>
      <w:r w:rsidR="007A57C8" w:rsidRPr="00D13ECC">
        <w:rPr>
          <w:rFonts w:eastAsia="Times New Roman"/>
          <w:i/>
          <w:iCs/>
          <w:kern w:val="0"/>
          <w14:ligatures w14:val="none"/>
        </w:rPr>
        <w:t xml:space="preserve"> Marcellus</w:t>
      </w:r>
      <w:r w:rsidR="007A57C8" w:rsidRPr="00D13ECC">
        <w:rPr>
          <w:rFonts w:eastAsia="Times New Roman"/>
          <w:kern w:val="0"/>
          <w14:ligatures w14:val="none"/>
        </w:rPr>
        <w:t xml:space="preserve"> </w:t>
      </w:r>
      <w:r w:rsidR="00176A95" w:rsidRPr="00D13ECC">
        <w:rPr>
          <w:rFonts w:eastAsia="Times New Roman"/>
          <w:kern w:val="0"/>
          <w14:ligatures w14:val="none"/>
        </w:rPr>
        <w:t>(</w:t>
      </w:r>
      <w:r w:rsidR="007A57C8" w:rsidRPr="00D13ECC">
        <w:rPr>
          <w:rFonts w:eastAsia="Times New Roman"/>
          <w:kern w:val="0"/>
          <w14:ligatures w14:val="none"/>
        </w:rPr>
        <w:t>165 NY 70, 77 [1900]</w:t>
      </w:r>
      <w:r w:rsidR="005A6F56" w:rsidRPr="00D13ECC">
        <w:rPr>
          <w:rFonts w:eastAsia="Times New Roman"/>
          <w:kern w:val="0"/>
          <w14:ligatures w14:val="none"/>
        </w:rPr>
        <w:t xml:space="preserve"> [“</w:t>
      </w:r>
      <w:r w:rsidR="007A57C8" w:rsidRPr="00D13ECC">
        <w:rPr>
          <w:rFonts w:eastAsia="Times New Roman"/>
          <w:kern w:val="0"/>
          <w14:ligatures w14:val="none"/>
        </w:rPr>
        <w:t xml:space="preserve">The general presumption is that </w:t>
      </w:r>
      <w:bookmarkStart w:id="1" w:name="_Hlk143096575"/>
      <w:r w:rsidR="007A57C8" w:rsidRPr="00D13ECC">
        <w:rPr>
          <w:rFonts w:eastAsia="Times New Roman"/>
          <w:kern w:val="0"/>
          <w14:ligatures w14:val="none"/>
        </w:rPr>
        <w:t>no official or person acting under an oath of office will do anything contrary to his official duty, or omit anything which his official duty requires to be done</w:t>
      </w:r>
      <w:bookmarkEnd w:id="1"/>
      <w:r w:rsidR="005A6F56" w:rsidRPr="00D13ECC">
        <w:rPr>
          <w:rFonts w:eastAsia="Times New Roman"/>
          <w:kern w:val="0"/>
          <w14:ligatures w14:val="none"/>
        </w:rPr>
        <w:t>”]</w:t>
      </w:r>
      <w:r w:rsidR="00176A95" w:rsidRPr="00D13ECC">
        <w:rPr>
          <w:rFonts w:eastAsia="Times New Roman"/>
          <w:kern w:val="0"/>
          <w14:ligatures w14:val="none"/>
        </w:rPr>
        <w:t xml:space="preserve">; </w:t>
      </w:r>
      <w:r w:rsidR="00176A95" w:rsidRPr="00D13ECC">
        <w:rPr>
          <w:rFonts w:eastAsia="Times New Roman"/>
          <w:i/>
          <w:iCs/>
          <w:kern w:val="0"/>
          <w14:ligatures w14:val="none"/>
        </w:rPr>
        <w:t>a</w:t>
      </w:r>
      <w:r w:rsidR="003775F8" w:rsidRPr="00D13ECC">
        <w:rPr>
          <w:rFonts w:eastAsia="Times New Roman"/>
          <w:i/>
          <w:iCs/>
          <w:kern w:val="0"/>
          <w14:ligatures w14:val="none"/>
        </w:rPr>
        <w:t xml:space="preserve">ccord </w:t>
      </w:r>
      <w:r w:rsidR="000B626B" w:rsidRPr="00D13ECC">
        <w:rPr>
          <w:rFonts w:eastAsia="Times New Roman"/>
          <w:i/>
          <w:iCs/>
          <w:kern w:val="0"/>
          <w14:ligatures w14:val="none"/>
        </w:rPr>
        <w:t>e.g</w:t>
      </w:r>
      <w:r w:rsidR="000B626B" w:rsidRPr="00D13ECC">
        <w:rPr>
          <w:rFonts w:eastAsia="Times New Roman"/>
          <w:kern w:val="0"/>
          <w14:ligatures w14:val="none"/>
        </w:rPr>
        <w:t xml:space="preserve">. </w:t>
      </w:r>
      <w:r w:rsidR="00FD55BD" w:rsidRPr="00D13ECC">
        <w:rPr>
          <w:rFonts w:eastAsia="Times New Roman"/>
          <w:i/>
          <w:iCs/>
          <w:kern w:val="0"/>
          <w14:ligatures w14:val="none"/>
        </w:rPr>
        <w:t>Matter of</w:t>
      </w:r>
      <w:r w:rsidR="00E02FAF" w:rsidRPr="00D13ECC">
        <w:rPr>
          <w:rFonts w:eastAsia="Times New Roman"/>
          <w:i/>
          <w:iCs/>
          <w:kern w:val="0"/>
          <w14:ligatures w14:val="none"/>
        </w:rPr>
        <w:t xml:space="preserve"> Whitman</w:t>
      </w:r>
      <w:r w:rsidR="00E02FAF" w:rsidRPr="00D13ECC">
        <w:rPr>
          <w:rFonts w:eastAsia="Times New Roman"/>
          <w:kern w:val="0"/>
          <w14:ligatures w14:val="none"/>
        </w:rPr>
        <w:t>, 225 NY 1, 9 [1918] [“The affiant did not aver that the inspectors of elections made an error or omitted any duty. The court was bound</w:t>
      </w:r>
      <w:r w:rsidR="00FD55BD" w:rsidRPr="00D13ECC">
        <w:rPr>
          <w:rFonts w:eastAsia="Times New Roman"/>
          <w:kern w:val="0"/>
          <w14:ligatures w14:val="none"/>
        </w:rPr>
        <w:t xml:space="preserve"> </w:t>
      </w:r>
      <w:r w:rsidR="00E02FAF" w:rsidRPr="00D13ECC">
        <w:rPr>
          <w:rFonts w:eastAsia="Times New Roman"/>
          <w:kern w:val="0"/>
          <w14:ligatures w14:val="none"/>
        </w:rPr>
        <w:t xml:space="preserve">. . . to presume that everything was rightfully done by them”]; </w:t>
      </w:r>
      <w:r w:rsidR="009F459B" w:rsidRPr="00D13ECC">
        <w:rPr>
          <w:rFonts w:eastAsia="Times New Roman"/>
          <w:i/>
          <w:iCs/>
          <w:kern w:val="0"/>
          <w14:ligatures w14:val="none"/>
        </w:rPr>
        <w:t>People ex rel. Henderson v Meloni</w:t>
      </w:r>
      <w:r w:rsidR="009F459B" w:rsidRPr="00D13ECC">
        <w:rPr>
          <w:rFonts w:eastAsia="Times New Roman"/>
          <w:kern w:val="0"/>
          <w14:ligatures w14:val="none"/>
        </w:rPr>
        <w:t xml:space="preserve">, 162 AD2d 999, 1000 [4th Dept 1990] </w:t>
      </w:r>
      <w:r w:rsidR="009F459B" w:rsidRPr="00D13ECC">
        <w:rPr>
          <w:rFonts w:eastAsia="Times New Roman"/>
          <w:kern w:val="0"/>
          <w14:ligatures w14:val="none"/>
        </w:rPr>
        <w:lastRenderedPageBreak/>
        <w:t xml:space="preserve">[“In finding that relator violated several general release conditions (of parole), the Hearing Officer . . . was entitled to presume that the Division of Parole had complied with its own regulations”]; </w:t>
      </w:r>
      <w:r w:rsidR="00524461" w:rsidRPr="00D13ECC">
        <w:rPr>
          <w:rFonts w:eastAsia="Times New Roman"/>
          <w:i/>
          <w:iCs/>
          <w:kern w:val="0"/>
          <w14:ligatures w14:val="none"/>
        </w:rPr>
        <w:t>Matter of Steinberg</w:t>
      </w:r>
      <w:r w:rsidR="00524461" w:rsidRPr="00D13ECC">
        <w:rPr>
          <w:rFonts w:eastAsia="Times New Roman"/>
          <w:kern w:val="0"/>
          <w14:ligatures w14:val="none"/>
        </w:rPr>
        <w:t xml:space="preserve">, </w:t>
      </w:r>
      <w:bookmarkStart w:id="2" w:name="_Hlk143104117"/>
      <w:r w:rsidR="00524461" w:rsidRPr="00D13ECC">
        <w:rPr>
          <w:rFonts w:eastAsia="Times New Roman"/>
          <w:kern w:val="0"/>
          <w14:ligatures w14:val="none"/>
        </w:rPr>
        <w:t xml:space="preserve">137 AD2d </w:t>
      </w:r>
      <w:bookmarkEnd w:id="2"/>
      <w:r w:rsidR="00524461" w:rsidRPr="00D13ECC">
        <w:rPr>
          <w:rFonts w:eastAsia="Times New Roman"/>
          <w:kern w:val="0"/>
          <w14:ligatures w14:val="none"/>
        </w:rPr>
        <w:t xml:space="preserve">110, 114 [1st Dept 1988] [“the Board of Law Examiners must be presumed to have acted </w:t>
      </w:r>
      <w:r w:rsidR="00907B67" w:rsidRPr="00D13ECC">
        <w:rPr>
          <w:rFonts w:eastAsia="Times New Roman"/>
          <w:kern w:val="0"/>
          <w14:ligatures w14:val="none"/>
        </w:rPr>
        <w:t xml:space="preserve">. . . </w:t>
      </w:r>
      <w:r w:rsidR="00524461" w:rsidRPr="00D13ECC">
        <w:rPr>
          <w:rFonts w:eastAsia="Times New Roman"/>
          <w:kern w:val="0"/>
          <w14:ligatures w14:val="none"/>
        </w:rPr>
        <w:t>in accordance with law and to have done nothing contrary to official duty in processing respondent</w:t>
      </w:r>
      <w:r w:rsidR="008966B4" w:rsidRPr="00D13ECC">
        <w:rPr>
          <w:rFonts w:eastAsia="Times New Roman"/>
          <w:kern w:val="0"/>
          <w14:ligatures w14:val="none"/>
        </w:rPr>
        <w:t>’</w:t>
      </w:r>
      <w:r w:rsidR="00524461" w:rsidRPr="00D13ECC">
        <w:rPr>
          <w:rFonts w:eastAsia="Times New Roman"/>
          <w:kern w:val="0"/>
          <w14:ligatures w14:val="none"/>
        </w:rPr>
        <w:t>s application</w:t>
      </w:r>
      <w:r w:rsidR="00BA3A59" w:rsidRPr="00D13ECC">
        <w:rPr>
          <w:rFonts w:eastAsia="Times New Roman"/>
          <w:kern w:val="0"/>
          <w14:ligatures w14:val="none"/>
        </w:rPr>
        <w:t>”]</w:t>
      </w:r>
      <w:r w:rsidR="009F459B" w:rsidRPr="00D13ECC">
        <w:rPr>
          <w:rFonts w:eastAsia="Times New Roman"/>
          <w:kern w:val="0"/>
          <w14:ligatures w14:val="none"/>
        </w:rPr>
        <w:t>.)</w:t>
      </w:r>
    </w:p>
    <w:p w14:paraId="7C118313" w14:textId="77777777" w:rsidR="003805B1" w:rsidRPr="00D13ECC" w:rsidRDefault="003805B1" w:rsidP="001A1FCA">
      <w:pPr>
        <w:shd w:val="clear" w:color="auto" w:fill="FFFFFF"/>
        <w:spacing w:before="0"/>
        <w:jc w:val="both"/>
        <w:rPr>
          <w:rFonts w:eastAsia="Times New Roman"/>
          <w:kern w:val="0"/>
          <w14:ligatures w14:val="none"/>
        </w:rPr>
      </w:pPr>
    </w:p>
    <w:p w14:paraId="32F03465" w14:textId="3347EDD9" w:rsidR="004F7D6F" w:rsidRPr="00D13ECC" w:rsidRDefault="003805B1" w:rsidP="001A1FCA">
      <w:pPr>
        <w:shd w:val="clear" w:color="auto" w:fill="FFFFFF"/>
        <w:spacing w:before="0"/>
        <w:jc w:val="both"/>
        <w:rPr>
          <w:rFonts w:eastAsia="Times New Roman"/>
          <w:kern w:val="0"/>
          <w14:ligatures w14:val="none"/>
        </w:rPr>
      </w:pPr>
      <w:r w:rsidRPr="00D13ECC">
        <w:rPr>
          <w:rFonts w:eastAsia="Times New Roman"/>
          <w:i/>
          <w:iCs/>
          <w:kern w:val="0"/>
          <w14:ligatures w14:val="none"/>
        </w:rPr>
        <w:tab/>
      </w:r>
      <w:r w:rsidRPr="00D13ECC">
        <w:rPr>
          <w:rFonts w:eastAsia="Times New Roman"/>
          <w:b/>
          <w:bCs/>
          <w:kern w:val="0"/>
          <w14:ligatures w14:val="none"/>
        </w:rPr>
        <w:t>Subdivision (2)</w:t>
      </w:r>
      <w:r w:rsidR="002132D6" w:rsidRPr="00D13ECC">
        <w:rPr>
          <w:rFonts w:eastAsia="Times New Roman"/>
          <w:b/>
          <w:bCs/>
          <w:kern w:val="0"/>
          <w14:ligatures w14:val="none"/>
        </w:rPr>
        <w:t xml:space="preserve"> </w:t>
      </w:r>
      <w:r w:rsidRPr="00D13ECC">
        <w:rPr>
          <w:rFonts w:eastAsia="Times New Roman"/>
          <w:b/>
          <w:bCs/>
          <w:kern w:val="0"/>
          <w14:ligatures w14:val="none"/>
        </w:rPr>
        <w:t>(a)</w:t>
      </w:r>
      <w:r w:rsidRPr="00D13ECC">
        <w:rPr>
          <w:rFonts w:eastAsia="Times New Roman"/>
          <w:kern w:val="0"/>
          <w14:ligatures w14:val="none"/>
        </w:rPr>
        <w:t xml:space="preserve"> is derived from</w:t>
      </w:r>
      <w:r w:rsidRPr="00D13ECC">
        <w:rPr>
          <w:rFonts w:eastAsia="Times New Roman"/>
          <w:i/>
          <w:iCs/>
          <w:kern w:val="0"/>
          <w14:ligatures w14:val="none"/>
        </w:rPr>
        <w:t xml:space="preserve"> Hamilton v Erie R.</w:t>
      </w:r>
      <w:r w:rsidR="00892041" w:rsidRPr="00D13ECC">
        <w:rPr>
          <w:rFonts w:eastAsia="Times New Roman"/>
          <w:i/>
          <w:iCs/>
          <w:kern w:val="0"/>
          <w14:ligatures w14:val="none"/>
        </w:rPr>
        <w:t>R.</w:t>
      </w:r>
      <w:r w:rsidRPr="00D13ECC">
        <w:rPr>
          <w:rFonts w:eastAsia="Times New Roman"/>
          <w:i/>
          <w:iCs/>
          <w:kern w:val="0"/>
          <w14:ligatures w14:val="none"/>
        </w:rPr>
        <w:t xml:space="preserve"> Co.</w:t>
      </w:r>
      <w:r w:rsidRPr="00D13ECC">
        <w:rPr>
          <w:rFonts w:eastAsia="Times New Roman"/>
          <w:kern w:val="0"/>
          <w14:ligatures w14:val="none"/>
        </w:rPr>
        <w:t xml:space="preserve"> </w:t>
      </w:r>
      <w:r w:rsidR="002132D6" w:rsidRPr="00D13ECC">
        <w:rPr>
          <w:rFonts w:eastAsia="Times New Roman"/>
          <w:kern w:val="0"/>
          <w14:ligatures w14:val="none"/>
        </w:rPr>
        <w:t>(</w:t>
      </w:r>
      <w:r w:rsidRPr="00D13ECC">
        <w:rPr>
          <w:rFonts w:eastAsia="Times New Roman"/>
          <w:kern w:val="0"/>
          <w14:ligatures w14:val="none"/>
        </w:rPr>
        <w:t>219 NY 343, [1916]</w:t>
      </w:r>
      <w:r w:rsidR="002132D6" w:rsidRPr="00D13ECC">
        <w:rPr>
          <w:rFonts w:eastAsia="Times New Roman"/>
          <w:kern w:val="0"/>
          <w14:ligatures w14:val="none"/>
        </w:rPr>
        <w:t>)</w:t>
      </w:r>
      <w:r w:rsidR="000B626B" w:rsidRPr="00D13ECC">
        <w:rPr>
          <w:rFonts w:eastAsia="Times New Roman"/>
          <w:kern w:val="0"/>
          <w14:ligatures w14:val="none"/>
        </w:rPr>
        <w:t xml:space="preserve">. </w:t>
      </w:r>
      <w:r w:rsidR="00525E77" w:rsidRPr="00D13ECC">
        <w:rPr>
          <w:rFonts w:eastAsia="Times New Roman"/>
          <w:kern w:val="0"/>
          <w14:ligatures w14:val="none"/>
        </w:rPr>
        <w:t xml:space="preserve">In </w:t>
      </w:r>
      <w:r w:rsidR="00525E77" w:rsidRPr="00D13ECC">
        <w:rPr>
          <w:rFonts w:eastAsia="Times New Roman"/>
          <w:i/>
          <w:iCs/>
          <w:kern w:val="0"/>
          <w14:ligatures w14:val="none"/>
        </w:rPr>
        <w:t>Hamilton</w:t>
      </w:r>
      <w:r w:rsidR="00525E77" w:rsidRPr="00D13ECC">
        <w:rPr>
          <w:rFonts w:eastAsia="Times New Roman"/>
          <w:kern w:val="0"/>
          <w14:ligatures w14:val="none"/>
        </w:rPr>
        <w:t xml:space="preserve">, </w:t>
      </w:r>
      <w:r w:rsidR="001C379B" w:rsidRPr="00D13ECC">
        <w:rPr>
          <w:rFonts w:eastAsia="Times New Roman"/>
          <w:kern w:val="0"/>
          <w14:ligatures w14:val="none"/>
        </w:rPr>
        <w:t xml:space="preserve">the plaintiff sued the defendant railroad company </w:t>
      </w:r>
      <w:r w:rsidR="0011021E" w:rsidRPr="00D13ECC">
        <w:rPr>
          <w:rFonts w:eastAsia="Times New Roman"/>
          <w:kern w:val="0"/>
          <w14:ligatures w14:val="none"/>
        </w:rPr>
        <w:t xml:space="preserve">in negligence for </w:t>
      </w:r>
      <w:r w:rsidR="004B47DD" w:rsidRPr="00D13ECC">
        <w:rPr>
          <w:rFonts w:eastAsia="Times New Roman"/>
          <w:kern w:val="0"/>
          <w14:ligatures w14:val="none"/>
        </w:rPr>
        <w:t xml:space="preserve">the death </w:t>
      </w:r>
      <w:r w:rsidR="00141D1C" w:rsidRPr="00D13ECC">
        <w:rPr>
          <w:rFonts w:eastAsia="Times New Roman"/>
          <w:kern w:val="0"/>
          <w14:ligatures w14:val="none"/>
        </w:rPr>
        <w:t xml:space="preserve">in New York </w:t>
      </w:r>
      <w:r w:rsidR="004B47DD" w:rsidRPr="00D13ECC">
        <w:rPr>
          <w:rFonts w:eastAsia="Times New Roman"/>
          <w:kern w:val="0"/>
          <w14:ligatures w14:val="none"/>
        </w:rPr>
        <w:t>of plaintiff’s intestate</w:t>
      </w:r>
      <w:r w:rsidR="006D57C0" w:rsidRPr="00D13ECC">
        <w:rPr>
          <w:rFonts w:eastAsia="Times New Roman"/>
          <w:kern w:val="0"/>
          <w14:ligatures w14:val="none"/>
        </w:rPr>
        <w:t xml:space="preserve">. </w:t>
      </w:r>
      <w:r w:rsidR="00471C6A" w:rsidRPr="00D13ECC">
        <w:rPr>
          <w:rFonts w:eastAsia="Times New Roman"/>
          <w:kern w:val="0"/>
          <w14:ligatures w14:val="none"/>
        </w:rPr>
        <w:t>A preliminary issue was whether the deceased was a citizen of the United States or of Russia</w:t>
      </w:r>
      <w:r w:rsidR="00D54888" w:rsidRPr="00D13ECC">
        <w:rPr>
          <w:rFonts w:eastAsia="Times New Roman"/>
          <w:kern w:val="0"/>
          <w14:ligatures w14:val="none"/>
        </w:rPr>
        <w:t xml:space="preserve"> because the main</w:t>
      </w:r>
      <w:r w:rsidR="00A31166" w:rsidRPr="00D13ECC">
        <w:rPr>
          <w:rFonts w:eastAsia="Times New Roman"/>
          <w:kern w:val="0"/>
          <w14:ligatures w14:val="none"/>
        </w:rPr>
        <w:t xml:space="preserve"> issue in the case was </w:t>
      </w:r>
      <w:r w:rsidR="002D6DB9" w:rsidRPr="00D13ECC">
        <w:rPr>
          <w:rFonts w:eastAsia="Times New Roman"/>
          <w:kern w:val="0"/>
          <w14:ligatures w14:val="none"/>
        </w:rPr>
        <w:t xml:space="preserve">whether </w:t>
      </w:r>
      <w:r w:rsidR="00426D1C" w:rsidRPr="00D13ECC">
        <w:rPr>
          <w:rFonts w:eastAsia="Times New Roman"/>
          <w:kern w:val="0"/>
          <w14:ligatures w14:val="none"/>
        </w:rPr>
        <w:t>“</w:t>
      </w:r>
      <w:r w:rsidR="002D6DB9" w:rsidRPr="00D13ECC">
        <w:rPr>
          <w:rFonts w:eastAsia="Times New Roman"/>
          <w:kern w:val="0"/>
          <w14:ligatures w14:val="none"/>
        </w:rPr>
        <w:t>there had been a valid settlement and release of the cause of action by the beneficiaries of it, through and by the acts of the Imperial Russian consul-general at New York</w:t>
      </w:r>
      <w:r w:rsidR="00E74B4A" w:rsidRPr="00D13ECC">
        <w:rPr>
          <w:rFonts w:eastAsia="Times New Roman"/>
          <w:kern w:val="0"/>
          <w14:ligatures w14:val="none"/>
        </w:rPr>
        <w:t xml:space="preserve">.” </w:t>
      </w:r>
      <w:r w:rsidR="00A60A9F" w:rsidRPr="00D13ECC">
        <w:rPr>
          <w:rFonts w:eastAsia="Times New Roman"/>
          <w:kern w:val="0"/>
          <w14:ligatures w14:val="none"/>
        </w:rPr>
        <w:t>(</w:t>
      </w:r>
      <w:r w:rsidR="00E74B4A" w:rsidRPr="00D13ECC">
        <w:rPr>
          <w:rFonts w:eastAsia="Times New Roman"/>
          <w:i/>
          <w:iCs/>
          <w:kern w:val="0"/>
          <w14:ligatures w14:val="none"/>
        </w:rPr>
        <w:t>Id.</w:t>
      </w:r>
      <w:r w:rsidR="00E74B4A" w:rsidRPr="00D13ECC">
        <w:rPr>
          <w:rFonts w:eastAsia="Times New Roman"/>
          <w:kern w:val="0"/>
          <w14:ligatures w14:val="none"/>
        </w:rPr>
        <w:t xml:space="preserve"> at 347.</w:t>
      </w:r>
      <w:r w:rsidR="00A60A9F" w:rsidRPr="00D13ECC">
        <w:rPr>
          <w:rFonts w:eastAsia="Times New Roman"/>
          <w:kern w:val="0"/>
          <w14:ligatures w14:val="none"/>
        </w:rPr>
        <w:t>)</w:t>
      </w:r>
      <w:r w:rsidR="00E74B4A" w:rsidRPr="00D13ECC">
        <w:rPr>
          <w:rFonts w:eastAsia="Times New Roman"/>
          <w:kern w:val="0"/>
          <w14:ligatures w14:val="none"/>
        </w:rPr>
        <w:t xml:space="preserve"> </w:t>
      </w:r>
      <w:r w:rsidR="00332F03" w:rsidRPr="00D13ECC">
        <w:rPr>
          <w:rFonts w:eastAsia="Times New Roman"/>
          <w:kern w:val="0"/>
          <w14:ligatures w14:val="none"/>
        </w:rPr>
        <w:t>On th</w:t>
      </w:r>
      <w:r w:rsidR="00BA5238" w:rsidRPr="00D13ECC">
        <w:rPr>
          <w:rFonts w:eastAsia="Times New Roman"/>
          <w:kern w:val="0"/>
          <w14:ligatures w14:val="none"/>
        </w:rPr>
        <w:t>e</w:t>
      </w:r>
      <w:r w:rsidR="00332F03" w:rsidRPr="00D13ECC">
        <w:rPr>
          <w:rFonts w:eastAsia="Times New Roman"/>
          <w:kern w:val="0"/>
          <w14:ligatures w14:val="none"/>
        </w:rPr>
        <w:t xml:space="preserve"> preliminary question, the Court </w:t>
      </w:r>
      <w:r w:rsidR="005F01C1" w:rsidRPr="00D13ECC">
        <w:rPr>
          <w:rFonts w:eastAsia="Times New Roman"/>
          <w:kern w:val="0"/>
          <w14:ligatures w14:val="none"/>
        </w:rPr>
        <w:t>found that</w:t>
      </w:r>
      <w:r w:rsidR="00C966AA" w:rsidRPr="00D13ECC">
        <w:rPr>
          <w:rFonts w:eastAsia="Times New Roman"/>
          <w:kern w:val="0"/>
          <w14:ligatures w14:val="none"/>
        </w:rPr>
        <w:t xml:space="preserve"> </w:t>
      </w:r>
      <w:r w:rsidR="005F01C1" w:rsidRPr="00D13ECC">
        <w:rPr>
          <w:rFonts w:eastAsia="Times New Roman"/>
          <w:kern w:val="0"/>
          <w14:ligatures w14:val="none"/>
        </w:rPr>
        <w:t>“</w:t>
      </w:r>
      <w:r w:rsidRPr="00D13ECC">
        <w:rPr>
          <w:rFonts w:eastAsia="Times New Roman"/>
          <w:kern w:val="0"/>
          <w14:ligatures w14:val="none"/>
        </w:rPr>
        <w:t>the acts of the Russian consul</w:t>
      </w:r>
      <w:r w:rsidR="00A60A9F" w:rsidRPr="00D13ECC">
        <w:rPr>
          <w:rFonts w:eastAsia="Times New Roman"/>
          <w:kern w:val="0"/>
          <w14:ligatures w14:val="none"/>
        </w:rPr>
        <w:t>-</w:t>
      </w:r>
      <w:r w:rsidRPr="00D13ECC">
        <w:rPr>
          <w:rFonts w:eastAsia="Times New Roman"/>
          <w:kern w:val="0"/>
          <w14:ligatures w14:val="none"/>
        </w:rPr>
        <w:t xml:space="preserve">general </w:t>
      </w:r>
      <w:r w:rsidR="007C0964" w:rsidRPr="00D13ECC">
        <w:rPr>
          <w:rFonts w:eastAsia="Times New Roman"/>
          <w:kern w:val="0"/>
          <w14:ligatures w14:val="none"/>
        </w:rPr>
        <w:t xml:space="preserve">under </w:t>
      </w:r>
      <w:r w:rsidR="006314B7" w:rsidRPr="00D13ECC">
        <w:rPr>
          <w:rFonts w:eastAsia="Times New Roman"/>
          <w:kern w:val="0"/>
          <w14:ligatures w14:val="none"/>
        </w:rPr>
        <w:t>[a] treaty</w:t>
      </w:r>
      <w:r w:rsidRPr="00D13ECC">
        <w:rPr>
          <w:rFonts w:eastAsia="Times New Roman"/>
          <w:kern w:val="0"/>
          <w14:ligatures w14:val="none"/>
        </w:rPr>
        <w:t xml:space="preserve"> created the presumption that the intestate was a citizen </w:t>
      </w:r>
      <w:r w:rsidR="000E2EA2" w:rsidRPr="00D13ECC">
        <w:rPr>
          <w:rFonts w:eastAsia="Times New Roman"/>
          <w:kern w:val="0"/>
          <w14:ligatures w14:val="none"/>
        </w:rPr>
        <w:t>. . .</w:t>
      </w:r>
      <w:r w:rsidRPr="00D13ECC">
        <w:rPr>
          <w:rFonts w:eastAsia="Times New Roman"/>
          <w:kern w:val="0"/>
          <w14:ligatures w14:val="none"/>
        </w:rPr>
        <w:t xml:space="preserve"> of Russia, because </w:t>
      </w:r>
      <w:r w:rsidR="006667B5" w:rsidRPr="00D13ECC">
        <w:rPr>
          <w:rFonts w:eastAsia="Times New Roman"/>
          <w:kern w:val="0"/>
          <w14:ligatures w14:val="none"/>
        </w:rPr>
        <w:t xml:space="preserve">. . . </w:t>
      </w:r>
      <w:r w:rsidR="00784D25" w:rsidRPr="00D13ECC">
        <w:rPr>
          <w:rFonts w:eastAsia="Times New Roman"/>
          <w:kern w:val="0"/>
          <w14:ligatures w14:val="none"/>
        </w:rPr>
        <w:t>[t</w:t>
      </w:r>
      <w:r w:rsidR="006667B5" w:rsidRPr="00D13ECC">
        <w:rPr>
          <w:rFonts w:eastAsia="Times New Roman"/>
          <w:kern w:val="0"/>
          <w14:ligatures w14:val="none"/>
        </w:rPr>
        <w:t>]</w:t>
      </w:r>
      <w:r w:rsidR="00784D25" w:rsidRPr="00D13ECC">
        <w:rPr>
          <w:rFonts w:eastAsia="Times New Roman"/>
          <w:kern w:val="0"/>
          <w14:ligatures w14:val="none"/>
        </w:rPr>
        <w:t>he</w:t>
      </w:r>
      <w:r w:rsidRPr="00D13ECC">
        <w:rPr>
          <w:rFonts w:eastAsia="Times New Roman"/>
          <w:kern w:val="0"/>
          <w14:ligatures w14:val="none"/>
        </w:rPr>
        <w:t xml:space="preserve"> acts of a public officer which presuppose the existence of other acts or conditions to make them legally operative are presumptive proofs of the latter</w:t>
      </w:r>
      <w:r w:rsidR="0005102A" w:rsidRPr="00D13ECC">
        <w:rPr>
          <w:rFonts w:eastAsia="Times New Roman"/>
          <w:kern w:val="0"/>
          <w14:ligatures w14:val="none"/>
        </w:rPr>
        <w:t xml:space="preserve">. </w:t>
      </w:r>
      <w:r w:rsidRPr="00D13ECC">
        <w:rPr>
          <w:rFonts w:eastAsia="Times New Roman"/>
          <w:kern w:val="0"/>
          <w:shd w:val="clear" w:color="auto" w:fill="FFFFFF"/>
          <w14:ligatures w14:val="none"/>
        </w:rPr>
        <w:t>‘The general presumption is that no official or person acting under an oath of office will do anything contrary to his official duty, or omit anything which his official duty requires to be done.’</w:t>
      </w:r>
      <w:r w:rsidRPr="00D13ECC">
        <w:rPr>
          <w:rFonts w:eastAsia="Times New Roman"/>
          <w:kern w:val="0"/>
          <w14:ligatures w14:val="none"/>
        </w:rPr>
        <w:t xml:space="preserve"> </w:t>
      </w:r>
      <w:r w:rsidR="00C46033" w:rsidRPr="00D13ECC">
        <w:rPr>
          <w:rFonts w:eastAsia="Times New Roman"/>
          <w:kern w:val="0"/>
          <w14:ligatures w14:val="none"/>
        </w:rPr>
        <w:t>(</w:t>
      </w:r>
      <w:r w:rsidRPr="00D13ECC">
        <w:rPr>
          <w:rFonts w:eastAsia="Times New Roman"/>
          <w:i/>
          <w:iCs/>
          <w:kern w:val="0"/>
          <w:shd w:val="clear" w:color="auto" w:fill="FFFFFF"/>
          <w14:ligatures w14:val="none"/>
        </w:rPr>
        <w:t>Matter of Marcellus,</w:t>
      </w:r>
      <w:r w:rsidRPr="00D13ECC">
        <w:rPr>
          <w:rFonts w:eastAsia="Times New Roman"/>
          <w:kern w:val="0"/>
          <w:shd w:val="clear" w:color="auto" w:fill="FFFFFF"/>
          <w14:ligatures w14:val="none"/>
        </w:rPr>
        <w:t xml:space="preserve"> 165 N. Y. 70</w:t>
      </w:r>
      <w:r w:rsidR="00C46033" w:rsidRPr="00D13ECC">
        <w:rPr>
          <w:rFonts w:eastAsia="Times New Roman"/>
          <w:kern w:val="0"/>
          <w:shd w:val="clear" w:color="auto" w:fill="FFFFFF"/>
          <w14:ligatures w14:val="none"/>
        </w:rPr>
        <w:t>)</w:t>
      </w:r>
      <w:r w:rsidRPr="00D13ECC">
        <w:rPr>
          <w:rFonts w:eastAsia="Times New Roman"/>
          <w:kern w:val="0"/>
          <w:shd w:val="clear" w:color="auto" w:fill="FFFFFF"/>
          <w14:ligatures w14:val="none"/>
        </w:rPr>
        <w:t>.</w:t>
      </w:r>
      <w:r w:rsidRPr="00D13ECC">
        <w:rPr>
          <w:rFonts w:eastAsia="Times New Roman"/>
          <w:kern w:val="0"/>
          <w14:ligatures w14:val="none"/>
        </w:rPr>
        <w:t xml:space="preserve"> We conclude from the proofs that the intestate was, at the time of his death, a citizen of Russia.</w:t>
      </w:r>
      <w:r w:rsidR="00473EB1" w:rsidRPr="00D13ECC">
        <w:rPr>
          <w:rFonts w:eastAsia="Times New Roman"/>
          <w:kern w:val="0"/>
          <w14:ligatures w14:val="none"/>
        </w:rPr>
        <w:t xml:space="preserve">” </w:t>
      </w:r>
      <w:r w:rsidR="009022AC" w:rsidRPr="00D13ECC">
        <w:rPr>
          <w:rFonts w:eastAsia="Times New Roman"/>
          <w:kern w:val="0"/>
          <w14:ligatures w14:val="none"/>
        </w:rPr>
        <w:t>(</w:t>
      </w:r>
      <w:r w:rsidR="00660EAF" w:rsidRPr="00D13ECC">
        <w:rPr>
          <w:rFonts w:eastAsia="Times New Roman"/>
          <w:i/>
          <w:iCs/>
          <w:kern w:val="0"/>
          <w14:ligatures w14:val="none"/>
        </w:rPr>
        <w:t>Hamilton</w:t>
      </w:r>
      <w:r w:rsidR="00660EAF" w:rsidRPr="00D13ECC">
        <w:rPr>
          <w:rFonts w:eastAsia="Times New Roman"/>
          <w:kern w:val="0"/>
          <w14:ligatures w14:val="none"/>
        </w:rPr>
        <w:t xml:space="preserve"> at 349-350</w:t>
      </w:r>
      <w:r w:rsidR="006667B5" w:rsidRPr="00D13ECC">
        <w:rPr>
          <w:rFonts w:eastAsia="Times New Roman"/>
          <w:kern w:val="0"/>
          <w14:ligatures w14:val="none"/>
        </w:rPr>
        <w:t xml:space="preserve"> [citations omitted]; </w:t>
      </w:r>
      <w:r w:rsidR="006667B5" w:rsidRPr="00D13ECC">
        <w:rPr>
          <w:rFonts w:eastAsia="Times New Roman"/>
          <w:i/>
          <w:iCs/>
          <w:kern w:val="0"/>
          <w14:ligatures w14:val="none"/>
        </w:rPr>
        <w:t>a</w:t>
      </w:r>
      <w:r w:rsidR="008F387D" w:rsidRPr="00D13ECC">
        <w:rPr>
          <w:rFonts w:eastAsia="Times New Roman"/>
          <w:i/>
          <w:iCs/>
          <w:kern w:val="0"/>
          <w14:ligatures w14:val="none"/>
        </w:rPr>
        <w:t xml:space="preserve">ccord </w:t>
      </w:r>
      <w:r w:rsidR="004F7D6F" w:rsidRPr="00D13ECC">
        <w:rPr>
          <w:rFonts w:eastAsia="Times New Roman"/>
          <w:i/>
          <w:iCs/>
          <w:kern w:val="0"/>
          <w14:ligatures w14:val="none"/>
        </w:rPr>
        <w:t>Hood v Guar</w:t>
      </w:r>
      <w:r w:rsidR="00C46033" w:rsidRPr="00D13ECC">
        <w:rPr>
          <w:rFonts w:eastAsia="Times New Roman"/>
          <w:i/>
          <w:iCs/>
          <w:kern w:val="0"/>
          <w14:ligatures w14:val="none"/>
        </w:rPr>
        <w:t>anty</w:t>
      </w:r>
      <w:r w:rsidR="004F7D6F" w:rsidRPr="00D13ECC">
        <w:rPr>
          <w:rFonts w:eastAsia="Times New Roman"/>
          <w:i/>
          <w:iCs/>
          <w:kern w:val="0"/>
          <w14:ligatures w14:val="none"/>
        </w:rPr>
        <w:t xml:space="preserve"> T</w:t>
      </w:r>
      <w:r w:rsidR="00C46033" w:rsidRPr="00D13ECC">
        <w:rPr>
          <w:rFonts w:eastAsia="Times New Roman"/>
          <w:i/>
          <w:iCs/>
          <w:kern w:val="0"/>
          <w14:ligatures w14:val="none"/>
        </w:rPr>
        <w:t>rust</w:t>
      </w:r>
      <w:r w:rsidR="004F7D6F" w:rsidRPr="00D13ECC">
        <w:rPr>
          <w:rFonts w:eastAsia="Times New Roman"/>
          <w:i/>
          <w:iCs/>
          <w:kern w:val="0"/>
          <w14:ligatures w14:val="none"/>
        </w:rPr>
        <w:t xml:space="preserve"> Co.</w:t>
      </w:r>
      <w:r w:rsidR="004F7D6F" w:rsidRPr="00D13ECC">
        <w:rPr>
          <w:rFonts w:eastAsia="Times New Roman"/>
          <w:kern w:val="0"/>
          <w14:ligatures w14:val="none"/>
        </w:rPr>
        <w:t>, 270 NY 17, 28 [1936] [</w:t>
      </w:r>
      <w:r w:rsidR="009B10F7" w:rsidRPr="00D13ECC">
        <w:rPr>
          <w:rFonts w:eastAsia="Times New Roman"/>
          <w:kern w:val="0"/>
          <w14:ligatures w14:val="none"/>
        </w:rPr>
        <w:t xml:space="preserve">where </w:t>
      </w:r>
      <w:r w:rsidR="003A1DC4" w:rsidRPr="00D13ECC">
        <w:rPr>
          <w:rFonts w:eastAsia="Times New Roman"/>
          <w:kern w:val="0"/>
          <w14:ligatures w14:val="none"/>
        </w:rPr>
        <w:t>the validity of an assessment depended upon</w:t>
      </w:r>
      <w:r w:rsidR="003C3B84" w:rsidRPr="00D13ECC">
        <w:rPr>
          <w:rFonts w:eastAsia="Times New Roman"/>
          <w:kern w:val="0"/>
          <w14:ligatures w14:val="none"/>
        </w:rPr>
        <w:t xml:space="preserve"> </w:t>
      </w:r>
      <w:r w:rsidR="009B10F7" w:rsidRPr="00D13ECC">
        <w:rPr>
          <w:rFonts w:eastAsia="Times New Roman"/>
          <w:kern w:val="0"/>
          <w14:ligatures w14:val="none"/>
        </w:rPr>
        <w:t>a Commissioner of Banks</w:t>
      </w:r>
      <w:r w:rsidR="00D00019" w:rsidRPr="00D13ECC">
        <w:rPr>
          <w:rFonts w:eastAsia="Times New Roman"/>
          <w:kern w:val="0"/>
          <w14:ligatures w14:val="none"/>
        </w:rPr>
        <w:t xml:space="preserve">’ </w:t>
      </w:r>
      <w:r w:rsidR="003C3B84" w:rsidRPr="00D13ECC">
        <w:rPr>
          <w:rFonts w:eastAsia="Times New Roman"/>
          <w:kern w:val="0"/>
          <w14:ligatures w14:val="none"/>
        </w:rPr>
        <w:t>compliance with the requirements of statutes</w:t>
      </w:r>
      <w:r w:rsidR="009B000F" w:rsidRPr="00D13ECC">
        <w:rPr>
          <w:rFonts w:eastAsia="Times New Roman"/>
          <w:kern w:val="0"/>
          <w14:ligatures w14:val="none"/>
        </w:rPr>
        <w:t xml:space="preserve">, the </w:t>
      </w:r>
      <w:r w:rsidR="00087ED4" w:rsidRPr="00D13ECC">
        <w:rPr>
          <w:rFonts w:eastAsia="Times New Roman"/>
          <w:kern w:val="0"/>
          <w14:ligatures w14:val="none"/>
        </w:rPr>
        <w:t xml:space="preserve">Court held that the </w:t>
      </w:r>
      <w:r w:rsidR="000E4321" w:rsidRPr="00D13ECC">
        <w:rPr>
          <w:rFonts w:eastAsia="Times New Roman"/>
          <w:kern w:val="0"/>
          <w14:ligatures w14:val="none"/>
        </w:rPr>
        <w:t>“</w:t>
      </w:r>
      <w:r w:rsidR="004F7D6F" w:rsidRPr="00D13ECC">
        <w:rPr>
          <w:rFonts w:eastAsia="Times New Roman"/>
          <w:kern w:val="0"/>
          <w14:ligatures w14:val="none"/>
        </w:rPr>
        <w:t xml:space="preserve">presumption lies that the Commissioner of Banks, being a public official, acted in compliance with law,” citing </w:t>
      </w:r>
      <w:r w:rsidR="004F7D6F" w:rsidRPr="00D13ECC">
        <w:rPr>
          <w:rFonts w:eastAsia="Times New Roman"/>
          <w:i/>
          <w:iCs/>
          <w:kern w:val="0"/>
          <w14:ligatures w14:val="none"/>
        </w:rPr>
        <w:t>Hamilton</w:t>
      </w:r>
      <w:r w:rsidR="004F7D6F" w:rsidRPr="00D13ECC">
        <w:rPr>
          <w:rFonts w:eastAsia="Times New Roman"/>
          <w:kern w:val="0"/>
          <w14:ligatures w14:val="none"/>
        </w:rPr>
        <w:t xml:space="preserve">]; </w:t>
      </w:r>
      <w:r w:rsidR="004F7D6F" w:rsidRPr="00D13ECC">
        <w:rPr>
          <w:rFonts w:eastAsia="Times New Roman"/>
          <w:i/>
          <w:iCs/>
          <w:kern w:val="0"/>
          <w14:ligatures w14:val="none"/>
        </w:rPr>
        <w:t>People v Beerman</w:t>
      </w:r>
      <w:r w:rsidR="004F7D6F" w:rsidRPr="00D13ECC">
        <w:rPr>
          <w:rFonts w:eastAsia="Times New Roman"/>
          <w:kern w:val="0"/>
          <w14:ligatures w14:val="none"/>
        </w:rPr>
        <w:t>, 12 NYS2d 888, 889-</w:t>
      </w:r>
      <w:r w:rsidR="004B4DBD" w:rsidRPr="00D13ECC">
        <w:rPr>
          <w:rFonts w:eastAsia="Times New Roman"/>
          <w:kern w:val="0"/>
          <w14:ligatures w14:val="none"/>
        </w:rPr>
        <w:t>8</w:t>
      </w:r>
      <w:r w:rsidR="004F7D6F" w:rsidRPr="00D13ECC">
        <w:rPr>
          <w:rFonts w:eastAsia="Times New Roman"/>
          <w:kern w:val="0"/>
          <w14:ligatures w14:val="none"/>
        </w:rPr>
        <w:t>90 [Sup Ct</w:t>
      </w:r>
      <w:r w:rsidR="000E4321" w:rsidRPr="00D13ECC">
        <w:rPr>
          <w:rFonts w:eastAsia="Times New Roman"/>
          <w:kern w:val="0"/>
          <w14:ligatures w14:val="none"/>
        </w:rPr>
        <w:t>, Kings County</w:t>
      </w:r>
      <w:r w:rsidR="004F7D6F" w:rsidRPr="00D13ECC">
        <w:rPr>
          <w:rFonts w:eastAsia="Times New Roman"/>
          <w:kern w:val="0"/>
          <w14:ligatures w14:val="none"/>
        </w:rPr>
        <w:t xml:space="preserve"> 1939] [in answer to a claim that the Deputy Commissioner of Jurors was not authorized to administer an oath to a witness in the grand jury, the </w:t>
      </w:r>
      <w:r w:rsidR="002D06F5" w:rsidRPr="00D13ECC">
        <w:rPr>
          <w:rFonts w:eastAsia="Times New Roman"/>
          <w:kern w:val="0"/>
          <w14:ligatures w14:val="none"/>
        </w:rPr>
        <w:t>C</w:t>
      </w:r>
      <w:r w:rsidR="004F7D6F" w:rsidRPr="00D13ECC">
        <w:rPr>
          <w:rFonts w:eastAsia="Times New Roman"/>
          <w:kern w:val="0"/>
          <w14:ligatures w14:val="none"/>
        </w:rPr>
        <w:t>ourt held</w:t>
      </w:r>
      <w:r w:rsidR="00850189" w:rsidRPr="00D13ECC">
        <w:rPr>
          <w:rFonts w:eastAsia="Times New Roman"/>
          <w:kern w:val="0"/>
          <w14:ligatures w14:val="none"/>
        </w:rPr>
        <w:t xml:space="preserve"> </w:t>
      </w:r>
      <w:r w:rsidR="00E63E50" w:rsidRPr="00D13ECC">
        <w:rPr>
          <w:rFonts w:eastAsia="Times New Roman"/>
          <w:kern w:val="0"/>
          <w14:ligatures w14:val="none"/>
        </w:rPr>
        <w:t>that</w:t>
      </w:r>
      <w:r w:rsidR="00DD3819" w:rsidRPr="00D13ECC">
        <w:rPr>
          <w:rFonts w:eastAsia="Times New Roman"/>
          <w:kern w:val="0"/>
          <w14:ligatures w14:val="none"/>
        </w:rPr>
        <w:t xml:space="preserve"> </w:t>
      </w:r>
      <w:r w:rsidR="005F4A2B" w:rsidRPr="00D13ECC">
        <w:rPr>
          <w:rFonts w:eastAsia="Times New Roman"/>
          <w:kern w:val="0"/>
          <w14:ligatures w14:val="none"/>
        </w:rPr>
        <w:t xml:space="preserve">when </w:t>
      </w:r>
      <w:r w:rsidR="00DD3819" w:rsidRPr="00D13ECC">
        <w:rPr>
          <w:rFonts w:eastAsia="Times New Roman"/>
          <w:kern w:val="0"/>
          <w14:ligatures w14:val="none"/>
        </w:rPr>
        <w:t xml:space="preserve">the </w:t>
      </w:r>
      <w:r w:rsidR="004F7D6F" w:rsidRPr="00D13ECC">
        <w:rPr>
          <w:rFonts w:eastAsia="Times New Roman"/>
          <w:kern w:val="0"/>
          <w14:ligatures w14:val="none"/>
        </w:rPr>
        <w:t>Deputy Commissioner</w:t>
      </w:r>
      <w:r w:rsidR="005F4A2B" w:rsidRPr="00D13ECC">
        <w:rPr>
          <w:rFonts w:eastAsia="Times New Roman"/>
          <w:kern w:val="0"/>
          <w14:ligatures w14:val="none"/>
        </w:rPr>
        <w:t xml:space="preserve"> </w:t>
      </w:r>
      <w:r w:rsidR="00DD3819" w:rsidRPr="00D13ECC">
        <w:rPr>
          <w:rFonts w:eastAsia="Times New Roman"/>
          <w:kern w:val="0"/>
          <w14:ligatures w14:val="none"/>
        </w:rPr>
        <w:t>“</w:t>
      </w:r>
      <w:r w:rsidR="004F7D6F" w:rsidRPr="00D13ECC">
        <w:rPr>
          <w:rFonts w:eastAsia="Times New Roman"/>
          <w:kern w:val="0"/>
          <w14:ligatures w14:val="none"/>
        </w:rPr>
        <w:t>administered the oath</w:t>
      </w:r>
      <w:r w:rsidR="005F4A2B" w:rsidRPr="00D13ECC">
        <w:rPr>
          <w:rFonts w:eastAsia="Times New Roman"/>
          <w:kern w:val="0"/>
          <w14:ligatures w14:val="none"/>
        </w:rPr>
        <w:t>” he</w:t>
      </w:r>
      <w:r w:rsidR="004F7D6F" w:rsidRPr="00D13ECC">
        <w:rPr>
          <w:rFonts w:eastAsia="Times New Roman"/>
          <w:kern w:val="0"/>
          <w14:ligatures w14:val="none"/>
        </w:rPr>
        <w:t xml:space="preserve"> was a </w:t>
      </w:r>
      <w:r w:rsidR="00075E9F" w:rsidRPr="00D13ECC">
        <w:rPr>
          <w:rFonts w:eastAsia="Times New Roman"/>
          <w:kern w:val="0"/>
          <w14:ligatures w14:val="none"/>
        </w:rPr>
        <w:t>“</w:t>
      </w:r>
      <w:r w:rsidR="004F7D6F" w:rsidRPr="00D13ECC">
        <w:rPr>
          <w:rFonts w:eastAsia="Times New Roman"/>
          <w:kern w:val="0"/>
          <w14:ligatures w14:val="none"/>
        </w:rPr>
        <w:t>public officer acting in an official capacity and it will be presumed that any conditions or circumstances prerequisite to his right to act were present”]</w:t>
      </w:r>
      <w:r w:rsidR="004B4DBD" w:rsidRPr="00D13ECC">
        <w:rPr>
          <w:rFonts w:eastAsia="Times New Roman"/>
          <w:kern w:val="0"/>
          <w14:ligatures w14:val="none"/>
        </w:rPr>
        <w:t>;</w:t>
      </w:r>
      <w:r w:rsidR="004F7D6F" w:rsidRPr="00D13ECC">
        <w:rPr>
          <w:rFonts w:eastAsia="Times New Roman"/>
          <w:kern w:val="0"/>
          <w14:ligatures w14:val="none"/>
        </w:rPr>
        <w:t xml:space="preserve"> </w:t>
      </w:r>
      <w:r w:rsidR="004B4DBD" w:rsidRPr="00D13ECC">
        <w:rPr>
          <w:rFonts w:eastAsia="Times New Roman"/>
          <w:i/>
          <w:iCs/>
          <w:kern w:val="0"/>
          <w14:ligatures w14:val="none"/>
        </w:rPr>
        <w:t>c</w:t>
      </w:r>
      <w:r w:rsidR="004F7D6F" w:rsidRPr="00D13ECC">
        <w:rPr>
          <w:rFonts w:eastAsia="Times New Roman"/>
          <w:i/>
          <w:iCs/>
          <w:kern w:val="0"/>
          <w14:ligatures w14:val="none"/>
        </w:rPr>
        <w:t>f. Swarthout v Ranier</w:t>
      </w:r>
      <w:r w:rsidR="004F7D6F" w:rsidRPr="00D13ECC">
        <w:rPr>
          <w:rFonts w:eastAsia="Times New Roman"/>
          <w:kern w:val="0"/>
          <w14:ligatures w14:val="none"/>
        </w:rPr>
        <w:t>, 143 NY 499, 504 [1894</w:t>
      </w:r>
      <w:bookmarkStart w:id="3" w:name="_Hlk150771697"/>
      <w:r w:rsidR="004F7D6F" w:rsidRPr="00D13ECC">
        <w:rPr>
          <w:rFonts w:eastAsia="Times New Roman"/>
          <w:kern w:val="0"/>
          <w14:ligatures w14:val="none"/>
        </w:rPr>
        <w:t>]</w:t>
      </w:r>
      <w:bookmarkEnd w:id="3"/>
      <w:r w:rsidR="004F7D6F" w:rsidRPr="00D13ECC">
        <w:rPr>
          <w:rFonts w:eastAsia="Times New Roman"/>
          <w:kern w:val="0"/>
          <w14:ligatures w14:val="none"/>
        </w:rPr>
        <w:t xml:space="preserve"> [“even acts done by a corporation which presuppose the existence of other acts to make them legally operative, are presumptive proofs of the latter”</w:t>
      </w:r>
      <w:r w:rsidR="00223067" w:rsidRPr="00D13ECC">
        <w:rPr>
          <w:rFonts w:eastAsia="Times New Roman"/>
          <w:kern w:val="0"/>
          <w14:ligatures w14:val="none"/>
        </w:rPr>
        <w:t>]</w:t>
      </w:r>
      <w:r w:rsidR="00C46033" w:rsidRPr="00D13ECC">
        <w:rPr>
          <w:rFonts w:eastAsia="Times New Roman"/>
          <w:kern w:val="0"/>
          <w14:ligatures w14:val="none"/>
        </w:rPr>
        <w:t>.</w:t>
      </w:r>
      <w:r w:rsidR="004F7D6F" w:rsidRPr="00D13ECC">
        <w:rPr>
          <w:rFonts w:eastAsia="Times New Roman"/>
          <w:kern w:val="0"/>
          <w14:ligatures w14:val="none"/>
        </w:rPr>
        <w:t>)</w:t>
      </w:r>
    </w:p>
    <w:p w14:paraId="286974EA" w14:textId="77777777" w:rsidR="002D06F5" w:rsidRPr="00D13ECC" w:rsidRDefault="002D06F5" w:rsidP="001A1FCA">
      <w:pPr>
        <w:shd w:val="clear" w:color="auto" w:fill="FFFFFF"/>
        <w:spacing w:before="0"/>
        <w:jc w:val="both"/>
        <w:rPr>
          <w:rFonts w:eastAsia="Times New Roman"/>
          <w:kern w:val="0"/>
          <w14:ligatures w14:val="none"/>
        </w:rPr>
      </w:pPr>
    </w:p>
    <w:p w14:paraId="4750CAA3" w14:textId="73AAC6EC" w:rsidR="006A6F44" w:rsidRPr="00D13ECC" w:rsidRDefault="00B16784" w:rsidP="001A1FCA">
      <w:pPr>
        <w:shd w:val="clear" w:color="auto" w:fill="FFFFFF"/>
        <w:spacing w:before="0"/>
        <w:jc w:val="both"/>
        <w:rPr>
          <w:rFonts w:eastAsia="Times New Roman"/>
          <w:kern w:val="0"/>
          <w14:ligatures w14:val="none"/>
        </w:rPr>
      </w:pPr>
      <w:r w:rsidRPr="00D13ECC">
        <w:rPr>
          <w:rFonts w:eastAsia="Times New Roman"/>
          <w:kern w:val="0"/>
          <w14:ligatures w14:val="none"/>
        </w:rPr>
        <w:tab/>
      </w:r>
      <w:r w:rsidR="00C41483" w:rsidRPr="00D13ECC">
        <w:rPr>
          <w:rFonts w:eastAsia="Times New Roman"/>
          <w:kern w:val="0"/>
          <w14:ligatures w14:val="none"/>
        </w:rPr>
        <w:t>The</w:t>
      </w:r>
      <w:r w:rsidR="009959F2" w:rsidRPr="00D13ECC">
        <w:rPr>
          <w:rFonts w:eastAsia="Times New Roman"/>
          <w:kern w:val="0"/>
          <w14:ligatures w14:val="none"/>
        </w:rPr>
        <w:t xml:space="preserve"> </w:t>
      </w:r>
      <w:r w:rsidR="0018046C" w:rsidRPr="00D13ECC">
        <w:rPr>
          <w:rFonts w:eastAsia="Times New Roman"/>
          <w:kern w:val="0"/>
          <w14:ligatures w14:val="none"/>
        </w:rPr>
        <w:t>United States Supreme Court</w:t>
      </w:r>
      <w:r w:rsidR="009959F2" w:rsidRPr="00D13ECC">
        <w:rPr>
          <w:rFonts w:eastAsia="Times New Roman"/>
          <w:kern w:val="0"/>
          <w14:ligatures w14:val="none"/>
        </w:rPr>
        <w:t xml:space="preserve">, before and after </w:t>
      </w:r>
      <w:r w:rsidR="009959F2" w:rsidRPr="00D13ECC">
        <w:rPr>
          <w:rFonts w:eastAsia="Times New Roman"/>
          <w:i/>
          <w:iCs/>
          <w:kern w:val="0"/>
          <w14:ligatures w14:val="none"/>
        </w:rPr>
        <w:t>Hamilton</w:t>
      </w:r>
      <w:r w:rsidR="003107D9" w:rsidRPr="00D13ECC">
        <w:rPr>
          <w:rFonts w:eastAsia="Times New Roman"/>
          <w:kern w:val="0"/>
          <w14:ligatures w14:val="none"/>
        </w:rPr>
        <w:t xml:space="preserve">, </w:t>
      </w:r>
      <w:r w:rsidR="00A45B30" w:rsidRPr="00D13ECC">
        <w:rPr>
          <w:rFonts w:eastAsia="Times New Roman"/>
          <w:kern w:val="0"/>
          <w14:ligatures w14:val="none"/>
        </w:rPr>
        <w:t xml:space="preserve">also </w:t>
      </w:r>
      <w:r w:rsidR="003107D9" w:rsidRPr="00D13ECC">
        <w:rPr>
          <w:rFonts w:eastAsia="Times New Roman"/>
          <w:kern w:val="0"/>
          <w14:ligatures w14:val="none"/>
        </w:rPr>
        <w:t>noted</w:t>
      </w:r>
      <w:r w:rsidR="00AB732C" w:rsidRPr="00D13ECC">
        <w:rPr>
          <w:rFonts w:eastAsia="Times New Roman"/>
          <w:kern w:val="0"/>
          <w14:ligatures w14:val="none"/>
        </w:rPr>
        <w:t xml:space="preserve"> that</w:t>
      </w:r>
      <w:r w:rsidR="001E71D3" w:rsidRPr="00D13ECC">
        <w:rPr>
          <w:rFonts w:eastAsia="Times New Roman"/>
          <w:kern w:val="0"/>
          <w14:ligatures w14:val="none"/>
        </w:rPr>
        <w:t xml:space="preserve"> “it is a rule of very general application that, where an act is done which can be done legally only after the performance of some prior act, proof of the latter carries with it a presumption of the due performance of the prior act”</w:t>
      </w:r>
      <w:r w:rsidR="006A6F44" w:rsidRPr="00D13ECC">
        <w:rPr>
          <w:rFonts w:eastAsia="Times New Roman"/>
          <w:kern w:val="0"/>
          <w14:ligatures w14:val="none"/>
        </w:rPr>
        <w:t xml:space="preserve"> </w:t>
      </w:r>
      <w:r w:rsidR="00540A31" w:rsidRPr="00D13ECC">
        <w:rPr>
          <w:rFonts w:eastAsia="Times New Roman"/>
          <w:kern w:val="0"/>
          <w14:ligatures w14:val="none"/>
        </w:rPr>
        <w:t>(</w:t>
      </w:r>
      <w:r w:rsidR="00BC3527" w:rsidRPr="00D13ECC">
        <w:rPr>
          <w:rFonts w:eastAsia="Times New Roman"/>
          <w:i/>
          <w:iCs/>
          <w:kern w:val="0"/>
          <w14:ligatures w14:val="none"/>
        </w:rPr>
        <w:t>Knox County v Ninth Nat. Bank</w:t>
      </w:r>
      <w:r w:rsidR="00BC3527" w:rsidRPr="00D13ECC">
        <w:rPr>
          <w:rFonts w:eastAsia="Times New Roman"/>
          <w:kern w:val="0"/>
          <w14:ligatures w14:val="none"/>
        </w:rPr>
        <w:t>, 147 US 91, 97 [1893]</w:t>
      </w:r>
      <w:r w:rsidR="00540A31" w:rsidRPr="00D13ECC">
        <w:rPr>
          <w:rFonts w:eastAsia="Times New Roman"/>
          <w:kern w:val="0"/>
          <w14:ligatures w14:val="none"/>
        </w:rPr>
        <w:t xml:space="preserve">; </w:t>
      </w:r>
      <w:r w:rsidR="00540A31" w:rsidRPr="00D13ECC">
        <w:rPr>
          <w:rFonts w:eastAsia="Times New Roman"/>
          <w:i/>
          <w:iCs/>
          <w:kern w:val="0"/>
          <w14:ligatures w14:val="none"/>
        </w:rPr>
        <w:t>see</w:t>
      </w:r>
      <w:r w:rsidR="003107D9" w:rsidRPr="00D13ECC">
        <w:rPr>
          <w:rFonts w:eastAsia="Times New Roman"/>
          <w:kern w:val="0"/>
          <w14:ligatures w14:val="none"/>
        </w:rPr>
        <w:t xml:space="preserve"> </w:t>
      </w:r>
      <w:r w:rsidR="003107D9" w:rsidRPr="00D13ECC">
        <w:rPr>
          <w:rFonts w:eastAsia="Times New Roman"/>
          <w:i/>
          <w:iCs/>
          <w:kern w:val="0"/>
          <w14:ligatures w14:val="none"/>
        </w:rPr>
        <w:t>R.H. Stearns Co. v United States</w:t>
      </w:r>
      <w:r w:rsidR="003107D9" w:rsidRPr="00D13ECC">
        <w:rPr>
          <w:rFonts w:eastAsia="Times New Roman"/>
          <w:kern w:val="0"/>
          <w14:ligatures w14:val="none"/>
        </w:rPr>
        <w:t>, 291 US 54, 63 [1934]</w:t>
      </w:r>
      <w:r w:rsidR="009B44EE" w:rsidRPr="00D13ECC">
        <w:rPr>
          <w:rFonts w:eastAsia="Times New Roman"/>
          <w:kern w:val="0"/>
          <w14:ligatures w14:val="none"/>
        </w:rPr>
        <w:t>;</w:t>
      </w:r>
      <w:r w:rsidR="009E6EFC" w:rsidRPr="00D13ECC">
        <w:rPr>
          <w:rFonts w:eastAsia="Times New Roman"/>
          <w:kern w:val="0"/>
          <w14:ligatures w14:val="none"/>
        </w:rPr>
        <w:t xml:space="preserve"> </w:t>
      </w:r>
      <w:r w:rsidR="009E6EFC" w:rsidRPr="00D13ECC">
        <w:rPr>
          <w:rFonts w:eastAsia="Times New Roman"/>
          <w:i/>
          <w:iCs/>
          <w:kern w:val="0"/>
          <w14:ligatures w14:val="none"/>
        </w:rPr>
        <w:t>Am</w:t>
      </w:r>
      <w:r w:rsidR="009230AF" w:rsidRPr="00D13ECC">
        <w:rPr>
          <w:rFonts w:eastAsia="Times New Roman"/>
          <w:i/>
          <w:iCs/>
          <w:kern w:val="0"/>
          <w14:ligatures w14:val="none"/>
        </w:rPr>
        <w:t>erican R</w:t>
      </w:r>
      <w:r w:rsidR="004C32D7" w:rsidRPr="00D13ECC">
        <w:rPr>
          <w:rFonts w:eastAsia="Times New Roman"/>
          <w:i/>
          <w:iCs/>
          <w:kern w:val="0"/>
          <w14:ligatures w14:val="none"/>
        </w:rPr>
        <w:t>ailway</w:t>
      </w:r>
      <w:r w:rsidR="009E6EFC" w:rsidRPr="00D13ECC">
        <w:rPr>
          <w:rFonts w:eastAsia="Times New Roman"/>
          <w:i/>
          <w:iCs/>
          <w:kern w:val="0"/>
          <w14:ligatures w14:val="none"/>
        </w:rPr>
        <w:t xml:space="preserve"> Express Co. v Lindenburg</w:t>
      </w:r>
      <w:r w:rsidR="009E6EFC" w:rsidRPr="00D13ECC">
        <w:rPr>
          <w:rFonts w:eastAsia="Times New Roman"/>
          <w:kern w:val="0"/>
          <w14:ligatures w14:val="none"/>
        </w:rPr>
        <w:t>, 260 US 584, 589 [1923]</w:t>
      </w:r>
      <w:r w:rsidR="00540A31" w:rsidRPr="00D13ECC">
        <w:rPr>
          <w:rFonts w:eastAsia="Times New Roman"/>
          <w:kern w:val="0"/>
          <w14:ligatures w14:val="none"/>
        </w:rPr>
        <w:t>).</w:t>
      </w:r>
    </w:p>
    <w:p w14:paraId="2B6C83CC" w14:textId="77777777" w:rsidR="0078740E" w:rsidRPr="00D13ECC" w:rsidRDefault="0078740E" w:rsidP="001A1FCA">
      <w:pPr>
        <w:shd w:val="clear" w:color="auto" w:fill="FFFFFF"/>
        <w:spacing w:before="0"/>
        <w:jc w:val="both"/>
        <w:rPr>
          <w:rFonts w:eastAsia="Times New Roman"/>
          <w:kern w:val="0"/>
          <w14:ligatures w14:val="none"/>
        </w:rPr>
      </w:pPr>
    </w:p>
    <w:p w14:paraId="100D400C" w14:textId="0321062D" w:rsidR="009608F5" w:rsidRPr="00D13ECC" w:rsidRDefault="006A5E7C" w:rsidP="001A1FCA">
      <w:pPr>
        <w:shd w:val="clear" w:color="auto" w:fill="FFFFFF"/>
        <w:spacing w:before="0"/>
        <w:jc w:val="both"/>
        <w:rPr>
          <w:rFonts w:eastAsia="Times New Roman"/>
          <w:kern w:val="0"/>
          <w14:ligatures w14:val="none"/>
        </w:rPr>
      </w:pPr>
      <w:r w:rsidRPr="00D13ECC">
        <w:rPr>
          <w:rFonts w:eastAsia="Times New Roman"/>
          <w:kern w:val="0"/>
          <w14:ligatures w14:val="none"/>
        </w:rPr>
        <w:tab/>
      </w:r>
      <w:r w:rsidR="00DE15F0" w:rsidRPr="00D13ECC">
        <w:rPr>
          <w:rFonts w:eastAsia="Times New Roman"/>
          <w:b/>
          <w:bCs/>
          <w:kern w:val="0"/>
          <w14:ligatures w14:val="none"/>
        </w:rPr>
        <w:t>Subdivision (2)</w:t>
      </w:r>
      <w:r w:rsidR="00B61921" w:rsidRPr="00D13ECC">
        <w:rPr>
          <w:rFonts w:eastAsia="Times New Roman"/>
          <w:b/>
          <w:bCs/>
          <w:kern w:val="0"/>
          <w14:ligatures w14:val="none"/>
        </w:rPr>
        <w:t xml:space="preserve"> </w:t>
      </w:r>
      <w:r w:rsidR="00DE15F0" w:rsidRPr="00D13ECC">
        <w:rPr>
          <w:rFonts w:eastAsia="Times New Roman"/>
          <w:b/>
          <w:bCs/>
          <w:kern w:val="0"/>
          <w14:ligatures w14:val="none"/>
        </w:rPr>
        <w:t>(b)</w:t>
      </w:r>
      <w:r w:rsidR="002F331D" w:rsidRPr="00D13ECC">
        <w:rPr>
          <w:rFonts w:eastAsia="Times New Roman"/>
          <w:b/>
          <w:bCs/>
          <w:kern w:val="0"/>
          <w14:ligatures w14:val="none"/>
        </w:rPr>
        <w:t>,</w:t>
      </w:r>
      <w:r w:rsidR="0078740E" w:rsidRPr="00D13ECC">
        <w:rPr>
          <w:rFonts w:eastAsia="Times New Roman"/>
          <w:b/>
          <w:bCs/>
          <w:kern w:val="0"/>
          <w14:ligatures w14:val="none"/>
        </w:rPr>
        <w:t xml:space="preserve"> </w:t>
      </w:r>
      <w:r w:rsidR="00F406E8" w:rsidRPr="00D13ECC">
        <w:rPr>
          <w:rFonts w:eastAsia="Times New Roman"/>
          <w:kern w:val="0"/>
          <w14:ligatures w14:val="none"/>
        </w:rPr>
        <w:t>which states</w:t>
      </w:r>
      <w:r w:rsidR="00F406E8" w:rsidRPr="00D13ECC">
        <w:rPr>
          <w:rFonts w:eastAsia="Times New Roman"/>
          <w:b/>
          <w:bCs/>
          <w:kern w:val="0"/>
          <w14:ligatures w14:val="none"/>
        </w:rPr>
        <w:t xml:space="preserve"> </w:t>
      </w:r>
      <w:r w:rsidR="0078740E" w:rsidRPr="00D13ECC">
        <w:rPr>
          <w:rFonts w:eastAsia="Times New Roman"/>
          <w:kern w:val="0"/>
          <w14:ligatures w14:val="none"/>
        </w:rPr>
        <w:t xml:space="preserve">that </w:t>
      </w:r>
      <w:r w:rsidR="00F406E8" w:rsidRPr="00D13ECC">
        <w:rPr>
          <w:rFonts w:eastAsia="Times New Roman"/>
          <w:kern w:val="0"/>
          <w14:ligatures w14:val="none"/>
        </w:rPr>
        <w:t>“</w:t>
      </w:r>
      <w:r w:rsidR="0078740E" w:rsidRPr="00D13ECC">
        <w:rPr>
          <w:rFonts w:eastAsia="Times New Roman"/>
          <w:kern w:val="0"/>
          <w14:ligatures w14:val="none"/>
        </w:rPr>
        <w:t>a public official is presumed to act</w:t>
      </w:r>
      <w:r w:rsidR="003546B5" w:rsidRPr="00D13ECC">
        <w:rPr>
          <w:rFonts w:eastAsia="Times New Roman"/>
          <w:kern w:val="0"/>
          <w14:ligatures w14:val="none"/>
        </w:rPr>
        <w:t xml:space="preserve"> honestly and</w:t>
      </w:r>
      <w:r w:rsidR="0078740E" w:rsidRPr="00D13ECC">
        <w:rPr>
          <w:rFonts w:eastAsia="Times New Roman"/>
          <w:kern w:val="0"/>
          <w14:ligatures w14:val="none"/>
        </w:rPr>
        <w:t xml:space="preserve"> in good faith</w:t>
      </w:r>
      <w:r w:rsidR="002F331D" w:rsidRPr="00D13ECC">
        <w:rPr>
          <w:rFonts w:eastAsia="Times New Roman"/>
          <w:kern w:val="0"/>
          <w14:ligatures w14:val="none"/>
        </w:rPr>
        <w:t>,</w:t>
      </w:r>
      <w:r w:rsidR="00F406E8" w:rsidRPr="00D13ECC">
        <w:rPr>
          <w:rFonts w:eastAsia="Times New Roman"/>
          <w:kern w:val="0"/>
          <w14:ligatures w14:val="none"/>
        </w:rPr>
        <w:t xml:space="preserve">” </w:t>
      </w:r>
      <w:r w:rsidR="00DE15F0" w:rsidRPr="00D13ECC">
        <w:rPr>
          <w:rFonts w:eastAsia="Times New Roman"/>
          <w:kern w:val="0"/>
          <w14:ligatures w14:val="none"/>
        </w:rPr>
        <w:t>is derived from</w:t>
      </w:r>
      <w:r w:rsidR="002F331D" w:rsidRPr="00D13ECC">
        <w:rPr>
          <w:rFonts w:eastAsia="Times New Roman"/>
          <w:kern w:val="0"/>
          <w14:ligatures w14:val="none"/>
        </w:rPr>
        <w:t xml:space="preserve"> cases that include:</w:t>
      </w:r>
      <w:r w:rsidR="00DE15F0" w:rsidRPr="00D13ECC">
        <w:rPr>
          <w:rFonts w:eastAsia="Times New Roman"/>
          <w:kern w:val="0"/>
          <w14:ligatures w14:val="none"/>
        </w:rPr>
        <w:t xml:space="preserve"> </w:t>
      </w:r>
      <w:r w:rsidR="00931314" w:rsidRPr="00D13ECC">
        <w:rPr>
          <w:rStyle w:val="cf21"/>
          <w:rFonts w:ascii="Times New Roman" w:hAnsi="Times New Roman" w:cs="Times New Roman"/>
          <w:color w:val="auto"/>
        </w:rPr>
        <w:t>Anheuser-Busch, Inc. v Abrams</w:t>
      </w:r>
      <w:r w:rsidR="00B6763C" w:rsidRPr="00D13ECC">
        <w:rPr>
          <w:rStyle w:val="cf11"/>
          <w:rFonts w:ascii="Times New Roman" w:hAnsi="Times New Roman" w:cs="Times New Roman"/>
        </w:rPr>
        <w:t xml:space="preserve">, </w:t>
      </w:r>
      <w:r w:rsidR="00931314" w:rsidRPr="00D13ECC">
        <w:rPr>
          <w:rStyle w:val="cf01"/>
          <w:rFonts w:ascii="Times New Roman" w:hAnsi="Times New Roman" w:cs="Times New Roman"/>
        </w:rPr>
        <w:t>71 NY2d 327, 332 [1988]</w:t>
      </w:r>
      <w:r w:rsidR="00644F1F" w:rsidRPr="00D13ECC">
        <w:rPr>
          <w:rFonts w:eastAsia="Times New Roman"/>
          <w:kern w:val="0"/>
          <w14:ligatures w14:val="none"/>
        </w:rPr>
        <w:t xml:space="preserve"> [“the Attorney-General enjoys a </w:t>
      </w:r>
      <w:r w:rsidR="00644F1F" w:rsidRPr="00D13ECC">
        <w:rPr>
          <w:rFonts w:eastAsia="Times New Roman"/>
          <w:kern w:val="0"/>
          <w14:ligatures w14:val="none"/>
        </w:rPr>
        <w:lastRenderedPageBreak/>
        <w:t xml:space="preserve">presumption that he is acting in good faith”]; </w:t>
      </w:r>
      <w:r w:rsidR="001E532B" w:rsidRPr="00D13ECC">
        <w:rPr>
          <w:rFonts w:eastAsia="Times New Roman"/>
          <w:i/>
          <w:iCs/>
          <w:kern w:val="0"/>
          <w14:ligatures w14:val="none"/>
        </w:rPr>
        <w:t xml:space="preserve">Matter of </w:t>
      </w:r>
      <w:r w:rsidR="009608F5" w:rsidRPr="00D13ECC">
        <w:rPr>
          <w:rFonts w:eastAsia="Times New Roman"/>
          <w:i/>
          <w:iCs/>
          <w:kern w:val="0"/>
          <w:bdr w:val="none" w:sz="0" w:space="0" w:color="auto" w:frame="1"/>
          <w14:ligatures w14:val="none"/>
        </w:rPr>
        <w:t>Magnotta v Gerlach</w:t>
      </w:r>
      <w:r w:rsidR="009608F5" w:rsidRPr="00D13ECC">
        <w:rPr>
          <w:rFonts w:eastAsia="Times New Roman"/>
          <w:kern w:val="0"/>
          <w14:ligatures w14:val="none"/>
        </w:rPr>
        <w:t xml:space="preserve"> </w:t>
      </w:r>
      <w:r w:rsidR="004C32D7" w:rsidRPr="00D13ECC">
        <w:rPr>
          <w:rFonts w:eastAsia="Times New Roman"/>
          <w:kern w:val="0"/>
          <w14:ligatures w14:val="none"/>
        </w:rPr>
        <w:t>(</w:t>
      </w:r>
      <w:r w:rsidR="009608F5" w:rsidRPr="00D13ECC">
        <w:rPr>
          <w:rFonts w:eastAsia="Times New Roman"/>
          <w:kern w:val="0"/>
          <w14:ligatures w14:val="none"/>
        </w:rPr>
        <w:t>301 NY 143, 149 [1950]</w:t>
      </w:r>
      <w:r w:rsidR="00EC7996" w:rsidRPr="00D13ECC">
        <w:rPr>
          <w:rFonts w:eastAsia="Times New Roman"/>
          <w:kern w:val="0"/>
          <w14:ligatures w14:val="none"/>
        </w:rPr>
        <w:t xml:space="preserve"> [“</w:t>
      </w:r>
      <w:r w:rsidR="009608F5" w:rsidRPr="00D13ECC">
        <w:rPr>
          <w:rFonts w:eastAsia="Times New Roman"/>
          <w:kern w:val="0"/>
          <w14:ligatures w14:val="none"/>
        </w:rPr>
        <w:t>The general presumption is that public officials, as well as boards, act honestly and in accordance with law</w:t>
      </w:r>
      <w:r w:rsidR="00EC7996" w:rsidRPr="00D13ECC">
        <w:rPr>
          <w:rFonts w:eastAsia="Times New Roman"/>
          <w:kern w:val="0"/>
          <w14:ligatures w14:val="none"/>
        </w:rPr>
        <w:t>”]</w:t>
      </w:r>
      <w:r w:rsidR="004C32D7" w:rsidRPr="00D13ECC">
        <w:rPr>
          <w:rFonts w:eastAsia="Times New Roman"/>
          <w:kern w:val="0"/>
          <w14:ligatures w14:val="none"/>
        </w:rPr>
        <w:t>)</w:t>
      </w:r>
      <w:r w:rsidR="00EC7996" w:rsidRPr="00D13ECC">
        <w:rPr>
          <w:rFonts w:eastAsia="Times New Roman"/>
          <w:kern w:val="0"/>
          <w14:ligatures w14:val="none"/>
        </w:rPr>
        <w:t>;</w:t>
      </w:r>
      <w:r w:rsidR="004F6765" w:rsidRPr="00D13ECC">
        <w:rPr>
          <w:rFonts w:eastAsia="Times New Roman"/>
          <w:kern w:val="0"/>
          <w14:ligatures w14:val="none"/>
        </w:rPr>
        <w:t xml:space="preserve"> </w:t>
      </w:r>
      <w:r w:rsidR="004C6BA2" w:rsidRPr="00D13ECC">
        <w:rPr>
          <w:rFonts w:eastAsia="Times New Roman"/>
          <w:i/>
          <w:iCs/>
          <w:kern w:val="0"/>
          <w14:ligatures w14:val="none"/>
        </w:rPr>
        <w:t>Steinberg</w:t>
      </w:r>
      <w:r w:rsidR="004C32D7" w:rsidRPr="00D13ECC">
        <w:rPr>
          <w:rFonts w:eastAsia="Times New Roman"/>
          <w:kern w:val="0"/>
          <w14:ligatures w14:val="none"/>
        </w:rPr>
        <w:t xml:space="preserve"> (</w:t>
      </w:r>
      <w:r w:rsidR="00E27129" w:rsidRPr="00D13ECC">
        <w:rPr>
          <w:rFonts w:eastAsia="Times New Roman"/>
          <w:kern w:val="0"/>
          <w14:ligatures w14:val="none"/>
        </w:rPr>
        <w:t xml:space="preserve">137 AD2d </w:t>
      </w:r>
      <w:r w:rsidR="004C6BA2" w:rsidRPr="00D13ECC">
        <w:rPr>
          <w:rFonts w:eastAsia="Times New Roman"/>
          <w:kern w:val="0"/>
          <w14:ligatures w14:val="none"/>
        </w:rPr>
        <w:t>at 114 [</w:t>
      </w:r>
      <w:r w:rsidR="003B3AA0" w:rsidRPr="00D13ECC">
        <w:rPr>
          <w:rFonts w:eastAsia="Times New Roman"/>
          <w:kern w:val="0"/>
          <w14:ligatures w14:val="none"/>
        </w:rPr>
        <w:t>“the Board of Law Examiners must be presumed to have acted honestl</w:t>
      </w:r>
      <w:r w:rsidR="00865396" w:rsidRPr="00D13ECC">
        <w:rPr>
          <w:rFonts w:eastAsia="Times New Roman"/>
          <w:kern w:val="0"/>
          <w14:ligatures w14:val="none"/>
        </w:rPr>
        <w:t>y</w:t>
      </w:r>
      <w:r w:rsidR="00670A76" w:rsidRPr="00D13ECC">
        <w:rPr>
          <w:rFonts w:eastAsia="Times New Roman"/>
          <w:kern w:val="0"/>
          <w14:ligatures w14:val="none"/>
        </w:rPr>
        <w:t>”</w:t>
      </w:r>
      <w:r w:rsidR="00E72C35" w:rsidRPr="00D13ECC">
        <w:rPr>
          <w:rFonts w:eastAsia="Times New Roman"/>
          <w:kern w:val="0"/>
          <w14:ligatures w14:val="none"/>
        </w:rPr>
        <w:t>]</w:t>
      </w:r>
      <w:r w:rsidR="00670A76" w:rsidRPr="00D13ECC">
        <w:rPr>
          <w:rFonts w:eastAsia="Times New Roman"/>
          <w:kern w:val="0"/>
          <w14:ligatures w14:val="none"/>
        </w:rPr>
        <w:t>.</w:t>
      </w:r>
    </w:p>
    <w:p w14:paraId="66B3B48F" w14:textId="77777777" w:rsidR="000272D1" w:rsidRPr="00D13ECC" w:rsidRDefault="000272D1" w:rsidP="001A1FCA">
      <w:pPr>
        <w:shd w:val="clear" w:color="auto" w:fill="FFFFFF"/>
        <w:spacing w:before="0"/>
        <w:jc w:val="both"/>
        <w:rPr>
          <w:rFonts w:eastAsia="Times New Roman"/>
          <w:kern w:val="0"/>
          <w14:ligatures w14:val="none"/>
        </w:rPr>
      </w:pPr>
    </w:p>
    <w:p w14:paraId="5D9CB252" w14:textId="55FB0DE0" w:rsidR="005254F1" w:rsidRPr="00D13ECC" w:rsidRDefault="00E30C02" w:rsidP="001A1FCA">
      <w:pPr>
        <w:spacing w:before="0"/>
        <w:jc w:val="both"/>
        <w:rPr>
          <w:rFonts w:eastAsia="Times New Roman"/>
          <w:kern w:val="0"/>
          <w14:ligatures w14:val="none"/>
        </w:rPr>
      </w:pPr>
      <w:r w:rsidRPr="00D13ECC">
        <w:rPr>
          <w:rFonts w:eastAsia="Times New Roman"/>
          <w:kern w:val="0"/>
          <w14:ligatures w14:val="none"/>
        </w:rPr>
        <w:tab/>
      </w:r>
      <w:r w:rsidRPr="00D13ECC">
        <w:rPr>
          <w:rFonts w:eastAsia="Times New Roman"/>
          <w:b/>
          <w:bCs/>
          <w:kern w:val="0"/>
          <w14:ligatures w14:val="none"/>
        </w:rPr>
        <w:t>Subdivision (3)</w:t>
      </w:r>
      <w:r w:rsidRPr="00D13ECC">
        <w:rPr>
          <w:rFonts w:eastAsia="Times New Roman"/>
          <w:kern w:val="0"/>
          <w14:ligatures w14:val="none"/>
        </w:rPr>
        <w:t xml:space="preserve"> </w:t>
      </w:r>
      <w:r w:rsidR="00F00953" w:rsidRPr="00D13ECC">
        <w:rPr>
          <w:rFonts w:eastAsia="Times New Roman"/>
          <w:kern w:val="0"/>
          <w14:ligatures w14:val="none"/>
        </w:rPr>
        <w:t>sets forth the statement of</w:t>
      </w:r>
      <w:r w:rsidR="00867FC4" w:rsidRPr="00D13ECC">
        <w:rPr>
          <w:rFonts w:eastAsia="Times New Roman"/>
          <w:kern w:val="0"/>
          <w14:ligatures w14:val="none"/>
        </w:rPr>
        <w:t xml:space="preserve"> </w:t>
      </w:r>
      <w:r w:rsidR="00867FC4" w:rsidRPr="00D13ECC">
        <w:rPr>
          <w:rFonts w:eastAsia="Times New Roman"/>
          <w:i/>
          <w:iCs/>
          <w:kern w:val="0"/>
          <w14:ligatures w14:val="none"/>
        </w:rPr>
        <w:t>People v Velasquez</w:t>
      </w:r>
      <w:r w:rsidR="00867FC4" w:rsidRPr="00D13ECC">
        <w:rPr>
          <w:rFonts w:eastAsia="Times New Roman"/>
          <w:kern w:val="0"/>
          <w14:ligatures w14:val="none"/>
        </w:rPr>
        <w:t xml:space="preserve"> </w:t>
      </w:r>
      <w:r w:rsidR="00C77461" w:rsidRPr="00D13ECC">
        <w:rPr>
          <w:rFonts w:eastAsia="Times New Roman"/>
          <w:kern w:val="0"/>
          <w14:ligatures w14:val="none"/>
        </w:rPr>
        <w:t>(</w:t>
      </w:r>
      <w:r w:rsidR="00867FC4" w:rsidRPr="00D13ECC">
        <w:rPr>
          <w:rFonts w:eastAsia="Times New Roman"/>
          <w:kern w:val="0"/>
          <w14:ligatures w14:val="none"/>
        </w:rPr>
        <w:t>1 NY3d 44, 48</w:t>
      </w:r>
      <w:r w:rsidR="00D55E64" w:rsidRPr="00D13ECC">
        <w:rPr>
          <w:rFonts w:eastAsia="Times New Roman"/>
          <w:kern w:val="0"/>
          <w14:ligatures w14:val="none"/>
        </w:rPr>
        <w:t xml:space="preserve"> </w:t>
      </w:r>
      <w:r w:rsidR="00867FC4" w:rsidRPr="00D13ECC">
        <w:rPr>
          <w:rFonts w:eastAsia="Times New Roman"/>
          <w:kern w:val="0"/>
          <w14:ligatures w14:val="none"/>
        </w:rPr>
        <w:t>[2003]</w:t>
      </w:r>
      <w:r w:rsidR="00C77461" w:rsidRPr="00D13ECC">
        <w:rPr>
          <w:rFonts w:eastAsia="Times New Roman"/>
          <w:kern w:val="0"/>
          <w14:ligatures w14:val="none"/>
        </w:rPr>
        <w:t>)</w:t>
      </w:r>
      <w:r w:rsidR="005254F1" w:rsidRPr="00D13ECC">
        <w:rPr>
          <w:rFonts w:eastAsia="Times New Roman"/>
          <w:kern w:val="0"/>
          <w14:ligatures w14:val="none"/>
        </w:rPr>
        <w:t xml:space="preserve"> </w:t>
      </w:r>
      <w:r w:rsidR="004001E5" w:rsidRPr="00D13ECC">
        <w:rPr>
          <w:rFonts w:eastAsia="Times New Roman"/>
          <w:kern w:val="0"/>
          <w14:ligatures w14:val="none"/>
        </w:rPr>
        <w:t xml:space="preserve">that </w:t>
      </w:r>
      <w:r w:rsidR="005254F1" w:rsidRPr="00D13ECC">
        <w:rPr>
          <w:rFonts w:eastAsia="Times New Roman"/>
          <w:kern w:val="0"/>
          <w14:ligatures w14:val="none"/>
        </w:rPr>
        <w:t>“</w:t>
      </w:r>
      <w:r w:rsidR="00C77461" w:rsidRPr="00D13ECC">
        <w:rPr>
          <w:rFonts w:eastAsia="Times New Roman"/>
          <w:kern w:val="0"/>
          <w14:ligatures w14:val="none"/>
        </w:rPr>
        <w:t>[a]</w:t>
      </w:r>
      <w:r w:rsidR="00867FC4" w:rsidRPr="00D13ECC">
        <w:rPr>
          <w:rFonts w:eastAsia="Times New Roman"/>
          <w:kern w:val="0"/>
          <w14:ligatures w14:val="none"/>
        </w:rPr>
        <w:t xml:space="preserve"> presumption of regularity attaches to judicial proceedings</w:t>
      </w:r>
      <w:r w:rsidR="004001E5" w:rsidRPr="00D13ECC">
        <w:rPr>
          <w:rFonts w:eastAsia="Times New Roman"/>
          <w:kern w:val="0"/>
          <w14:ligatures w14:val="none"/>
        </w:rPr>
        <w:t>.</w:t>
      </w:r>
      <w:r w:rsidR="005254F1" w:rsidRPr="00D13ECC">
        <w:rPr>
          <w:rFonts w:eastAsia="Times New Roman"/>
          <w:kern w:val="0"/>
          <w14:ligatures w14:val="none"/>
        </w:rPr>
        <w:t>”</w:t>
      </w:r>
    </w:p>
    <w:p w14:paraId="3320E81A" w14:textId="77777777" w:rsidR="006B1C0F" w:rsidRPr="00D13ECC" w:rsidRDefault="006B1C0F" w:rsidP="001A1FCA">
      <w:pPr>
        <w:spacing w:before="0"/>
        <w:jc w:val="both"/>
        <w:rPr>
          <w:rFonts w:eastAsia="Times New Roman"/>
          <w:kern w:val="0"/>
          <w14:ligatures w14:val="none"/>
        </w:rPr>
      </w:pPr>
    </w:p>
    <w:p w14:paraId="3B284F00" w14:textId="665DACCD" w:rsidR="006B1C0F" w:rsidRPr="00D13ECC" w:rsidRDefault="003862C6" w:rsidP="001A1FCA">
      <w:pPr>
        <w:shd w:val="clear" w:color="auto" w:fill="FFFFFF"/>
        <w:spacing w:before="0"/>
        <w:jc w:val="both"/>
        <w:rPr>
          <w:rFonts w:eastAsia="Times New Roman"/>
          <w:kern w:val="0"/>
          <w14:ligatures w14:val="none"/>
        </w:rPr>
      </w:pPr>
      <w:r w:rsidRPr="00D13ECC">
        <w:rPr>
          <w:rFonts w:eastAsia="Times New Roman"/>
          <w:kern w:val="0"/>
          <w14:ligatures w14:val="none"/>
        </w:rPr>
        <w:tab/>
      </w:r>
      <w:r w:rsidR="00FE1FBD" w:rsidRPr="00D13ECC">
        <w:rPr>
          <w:rFonts w:eastAsia="Times New Roman"/>
          <w:kern w:val="0"/>
          <w14:ligatures w14:val="none"/>
        </w:rPr>
        <w:t xml:space="preserve">In </w:t>
      </w:r>
      <w:r w:rsidR="00FE1FBD" w:rsidRPr="00D13ECC">
        <w:rPr>
          <w:rFonts w:eastAsia="Times New Roman"/>
          <w:i/>
          <w:iCs/>
          <w:kern w:val="0"/>
          <w14:ligatures w14:val="none"/>
        </w:rPr>
        <w:t>Velasquez</w:t>
      </w:r>
      <w:r w:rsidR="00FE1FBD" w:rsidRPr="00D13ECC">
        <w:rPr>
          <w:rFonts w:eastAsia="Times New Roman"/>
          <w:kern w:val="0"/>
          <w14:ligatures w14:val="none"/>
        </w:rPr>
        <w:t xml:space="preserve">, </w:t>
      </w:r>
      <w:r w:rsidR="00594205" w:rsidRPr="00D13ECC">
        <w:rPr>
          <w:rFonts w:eastAsia="Times New Roman"/>
          <w:kern w:val="0"/>
          <w14:ligatures w14:val="none"/>
        </w:rPr>
        <w:t>the defendant claimed that he was not present in the robing room for the questioning of prospective jurors</w:t>
      </w:r>
      <w:r w:rsidR="009B31DA" w:rsidRPr="00D13ECC">
        <w:rPr>
          <w:rFonts w:eastAsia="Times New Roman"/>
          <w:kern w:val="0"/>
          <w14:ligatures w14:val="none"/>
        </w:rPr>
        <w:t>,</w:t>
      </w:r>
      <w:r w:rsidR="00C77461" w:rsidRPr="00D13ECC">
        <w:rPr>
          <w:rFonts w:eastAsia="Times New Roman"/>
          <w:kern w:val="0"/>
          <w14:ligatures w14:val="none"/>
        </w:rPr>
        <w:t xml:space="preserve"> </w:t>
      </w:r>
      <w:r w:rsidR="00FF2350" w:rsidRPr="00D13ECC">
        <w:rPr>
          <w:rFonts w:eastAsia="Times New Roman"/>
          <w:kern w:val="0"/>
          <w14:ligatures w14:val="none"/>
        </w:rPr>
        <w:t>and the minutes of the proceeding did not record his presence.</w:t>
      </w:r>
      <w:r w:rsidR="006D57C0" w:rsidRPr="00D13ECC">
        <w:rPr>
          <w:rFonts w:eastAsia="Times New Roman"/>
          <w:kern w:val="0"/>
          <w14:ligatures w14:val="none"/>
        </w:rPr>
        <w:t xml:space="preserve"> </w:t>
      </w:r>
      <w:r w:rsidR="00E60C5D" w:rsidRPr="00D13ECC">
        <w:rPr>
          <w:rFonts w:eastAsia="Times New Roman"/>
          <w:kern w:val="0"/>
          <w14:ligatures w14:val="none"/>
        </w:rPr>
        <w:t xml:space="preserve">The Court, however, </w:t>
      </w:r>
      <w:r w:rsidR="006B1C0F" w:rsidRPr="00D13ECC">
        <w:rPr>
          <w:rFonts w:eastAsia="Times New Roman"/>
          <w:kern w:val="0"/>
          <w14:ligatures w14:val="none"/>
        </w:rPr>
        <w:t>decline</w:t>
      </w:r>
      <w:r w:rsidR="009B31DA" w:rsidRPr="00D13ECC">
        <w:rPr>
          <w:rFonts w:eastAsia="Times New Roman"/>
          <w:kern w:val="0"/>
          <w14:ligatures w14:val="none"/>
        </w:rPr>
        <w:t>d</w:t>
      </w:r>
      <w:r w:rsidR="006B1C0F" w:rsidRPr="00D13ECC">
        <w:rPr>
          <w:rFonts w:eastAsia="Times New Roman"/>
          <w:kern w:val="0"/>
          <w14:ligatures w14:val="none"/>
        </w:rPr>
        <w:t xml:space="preserve"> </w:t>
      </w:r>
      <w:r w:rsidR="009B31DA" w:rsidRPr="00D13ECC">
        <w:rPr>
          <w:rFonts w:eastAsia="Times New Roman"/>
          <w:kern w:val="0"/>
          <w14:ligatures w14:val="none"/>
        </w:rPr>
        <w:t>“</w:t>
      </w:r>
      <w:r w:rsidR="006B1C0F" w:rsidRPr="00D13ECC">
        <w:rPr>
          <w:rFonts w:eastAsia="Times New Roman"/>
          <w:kern w:val="0"/>
          <w14:ligatures w14:val="none"/>
        </w:rPr>
        <w:t>to speculate that the court reporter</w:t>
      </w:r>
      <w:r w:rsidR="008966B4" w:rsidRPr="00D13ECC">
        <w:rPr>
          <w:rFonts w:eastAsia="Times New Roman"/>
          <w:kern w:val="0"/>
          <w14:ligatures w14:val="none"/>
        </w:rPr>
        <w:t>’</w:t>
      </w:r>
      <w:r w:rsidR="006B1C0F" w:rsidRPr="00D13ECC">
        <w:rPr>
          <w:rFonts w:eastAsia="Times New Roman"/>
          <w:kern w:val="0"/>
          <w14:ligatures w14:val="none"/>
        </w:rPr>
        <w:t>s failure to note defendant</w:t>
      </w:r>
      <w:r w:rsidR="008966B4" w:rsidRPr="00D13ECC">
        <w:rPr>
          <w:rFonts w:eastAsia="Times New Roman"/>
          <w:kern w:val="0"/>
          <w14:ligatures w14:val="none"/>
        </w:rPr>
        <w:t>’</w:t>
      </w:r>
      <w:r w:rsidR="006B1C0F" w:rsidRPr="00D13ECC">
        <w:rPr>
          <w:rFonts w:eastAsia="Times New Roman"/>
          <w:kern w:val="0"/>
          <w14:ligatures w14:val="none"/>
        </w:rPr>
        <w:t>s presence at the challenged robing room conference, coupled with occasional references to his presence in other portions of the transcript, demonstrates that he must have been absent from the ancillary proceeding at issue. Without more, failure to record a defendant</w:t>
      </w:r>
      <w:r w:rsidR="008966B4" w:rsidRPr="00D13ECC">
        <w:rPr>
          <w:rFonts w:eastAsia="Times New Roman"/>
          <w:kern w:val="0"/>
          <w14:ligatures w14:val="none"/>
        </w:rPr>
        <w:t>’</w:t>
      </w:r>
      <w:r w:rsidR="006B1C0F" w:rsidRPr="00D13ECC">
        <w:rPr>
          <w:rFonts w:eastAsia="Times New Roman"/>
          <w:kern w:val="0"/>
          <w14:ligatures w14:val="none"/>
        </w:rPr>
        <w:t>s presence is insufficient to meet the defendant</w:t>
      </w:r>
      <w:r w:rsidR="008966B4" w:rsidRPr="00D13ECC">
        <w:rPr>
          <w:rFonts w:eastAsia="Times New Roman"/>
          <w:kern w:val="0"/>
          <w14:ligatures w14:val="none"/>
        </w:rPr>
        <w:t>’</w:t>
      </w:r>
      <w:r w:rsidR="006B1C0F" w:rsidRPr="00D13ECC">
        <w:rPr>
          <w:rFonts w:eastAsia="Times New Roman"/>
          <w:kern w:val="0"/>
          <w14:ligatures w14:val="none"/>
        </w:rPr>
        <w:t>s burden of rebutting the presumption of regularity.</w:t>
      </w:r>
      <w:r w:rsidR="006767C8" w:rsidRPr="00D13ECC">
        <w:rPr>
          <w:rFonts w:eastAsia="Times New Roman"/>
          <w:kern w:val="0"/>
          <w14:ligatures w14:val="none"/>
        </w:rPr>
        <w:t>” (</w:t>
      </w:r>
      <w:r w:rsidR="00A71DA2" w:rsidRPr="00D13ECC">
        <w:rPr>
          <w:rFonts w:eastAsia="Times New Roman"/>
          <w:i/>
          <w:iCs/>
          <w:kern w:val="0"/>
          <w14:ligatures w14:val="none"/>
        </w:rPr>
        <w:t>Id.</w:t>
      </w:r>
      <w:r w:rsidR="006767C8" w:rsidRPr="00D13ECC">
        <w:rPr>
          <w:rFonts w:eastAsia="Times New Roman"/>
          <w:kern w:val="0"/>
          <w14:ligatures w14:val="none"/>
        </w:rPr>
        <w:t xml:space="preserve"> at 48</w:t>
      </w:r>
      <w:r w:rsidR="003B6AF9" w:rsidRPr="00D13ECC">
        <w:rPr>
          <w:rFonts w:eastAsia="Times New Roman"/>
          <w:kern w:val="0"/>
          <w14:ligatures w14:val="none"/>
        </w:rPr>
        <w:t>.</w:t>
      </w:r>
      <w:r w:rsidR="006767C8" w:rsidRPr="00D13ECC">
        <w:rPr>
          <w:rFonts w:eastAsia="Times New Roman"/>
          <w:kern w:val="0"/>
          <w14:ligatures w14:val="none"/>
        </w:rPr>
        <w:t>)</w:t>
      </w:r>
      <w:r w:rsidR="006D57C0" w:rsidRPr="00D13ECC">
        <w:rPr>
          <w:rFonts w:eastAsia="Times New Roman"/>
          <w:kern w:val="0"/>
          <w14:ligatures w14:val="none"/>
        </w:rPr>
        <w:t xml:space="preserve"> </w:t>
      </w:r>
    </w:p>
    <w:p w14:paraId="72AA3C18" w14:textId="77777777" w:rsidR="004838A7" w:rsidRPr="00D13ECC" w:rsidRDefault="004838A7" w:rsidP="001A1FCA">
      <w:pPr>
        <w:shd w:val="clear" w:color="auto" w:fill="FFFFFF"/>
        <w:spacing w:before="0"/>
        <w:jc w:val="both"/>
        <w:rPr>
          <w:rFonts w:eastAsia="Times New Roman"/>
          <w:kern w:val="0"/>
          <w14:ligatures w14:val="none"/>
        </w:rPr>
      </w:pPr>
    </w:p>
    <w:p w14:paraId="03500B31" w14:textId="0350054A" w:rsidR="00F13F8A" w:rsidRPr="00D13ECC" w:rsidRDefault="004838A7" w:rsidP="001A1FCA">
      <w:pPr>
        <w:shd w:val="clear" w:color="auto" w:fill="FFFFFF"/>
        <w:spacing w:before="0"/>
        <w:jc w:val="both"/>
        <w:rPr>
          <w:kern w:val="0"/>
          <w14:ligatures w14:val="none"/>
        </w:rPr>
      </w:pPr>
      <w:r w:rsidRPr="00D13ECC">
        <w:rPr>
          <w:rFonts w:eastAsia="Times New Roman"/>
          <w:kern w:val="0"/>
          <w14:ligatures w14:val="none"/>
        </w:rPr>
        <w:tab/>
      </w:r>
      <w:r w:rsidR="00055570" w:rsidRPr="00D13ECC">
        <w:rPr>
          <w:rFonts w:eastAsia="Times New Roman"/>
          <w:kern w:val="0"/>
          <w14:ligatures w14:val="none"/>
        </w:rPr>
        <w:t xml:space="preserve">Other examples of the presumption of regularity attaching to judicial proceedings include: </w:t>
      </w:r>
      <w:r w:rsidR="004A7F6D" w:rsidRPr="00D13ECC">
        <w:rPr>
          <w:i/>
          <w:iCs/>
          <w:kern w:val="0"/>
          <w:bdr w:val="none" w:sz="0" w:space="0" w:color="auto" w:frame="1"/>
          <w14:ligatures w14:val="none"/>
        </w:rPr>
        <w:t>People v Dominique</w:t>
      </w:r>
      <w:r w:rsidR="004A7F6D" w:rsidRPr="00D13ECC">
        <w:rPr>
          <w:kern w:val="0"/>
          <w14:ligatures w14:val="none"/>
        </w:rPr>
        <w:t xml:space="preserve"> </w:t>
      </w:r>
      <w:r w:rsidR="003B6AF9" w:rsidRPr="00D13ECC">
        <w:rPr>
          <w:kern w:val="0"/>
          <w14:ligatures w14:val="none"/>
        </w:rPr>
        <w:t>(</w:t>
      </w:r>
      <w:r w:rsidR="004A7F6D" w:rsidRPr="00D13ECC">
        <w:rPr>
          <w:kern w:val="0"/>
          <w14:ligatures w14:val="none"/>
        </w:rPr>
        <w:t>90 NY2d 880, 881 [1997] [in the absence of specific proof that in issuing a search warrant the court took oral testimony and failed to record the testimony as required by statute, “the law presumes that the statutory requirements were satisfied”]</w:t>
      </w:r>
      <w:r w:rsidR="0099536C" w:rsidRPr="00D13ECC">
        <w:rPr>
          <w:kern w:val="0"/>
          <w14:ligatures w14:val="none"/>
        </w:rPr>
        <w:t>)</w:t>
      </w:r>
      <w:r w:rsidR="004A7F6D" w:rsidRPr="00D13ECC">
        <w:rPr>
          <w:kern w:val="0"/>
          <w14:ligatures w14:val="none"/>
        </w:rPr>
        <w:t xml:space="preserve">; </w:t>
      </w:r>
      <w:r w:rsidR="00F955E0" w:rsidRPr="00D13ECC">
        <w:rPr>
          <w:rFonts w:eastAsia="Times New Roman"/>
          <w:i/>
          <w:iCs/>
          <w:kern w:val="0"/>
          <w14:ligatures w14:val="none"/>
        </w:rPr>
        <w:t>People v Glass</w:t>
      </w:r>
      <w:r w:rsidR="00F955E0" w:rsidRPr="00D13ECC">
        <w:rPr>
          <w:rFonts w:eastAsia="Times New Roman"/>
          <w:kern w:val="0"/>
          <w14:ligatures w14:val="none"/>
        </w:rPr>
        <w:t xml:space="preserve"> </w:t>
      </w:r>
      <w:r w:rsidR="0057308C" w:rsidRPr="00D13ECC">
        <w:rPr>
          <w:rFonts w:eastAsia="Times New Roman"/>
          <w:kern w:val="0"/>
          <w14:ligatures w14:val="none"/>
        </w:rPr>
        <w:t>(</w:t>
      </w:r>
      <w:r w:rsidR="00F955E0" w:rsidRPr="00D13ECC">
        <w:rPr>
          <w:rFonts w:eastAsia="Times New Roman"/>
          <w:kern w:val="0"/>
          <w14:ligatures w14:val="none"/>
        </w:rPr>
        <w:t>43 NY2d 283, 287 [1977]</w:t>
      </w:r>
      <w:r w:rsidR="004A5FE2" w:rsidRPr="00D13ECC">
        <w:rPr>
          <w:rFonts w:eastAsia="Times New Roman"/>
          <w:kern w:val="0"/>
          <w14:ligatures w14:val="none"/>
        </w:rPr>
        <w:t xml:space="preserve"> [</w:t>
      </w:r>
      <w:r w:rsidR="00A75A30" w:rsidRPr="00D13ECC">
        <w:rPr>
          <w:rFonts w:eastAsia="Times New Roman"/>
          <w:kern w:val="0"/>
          <w14:ligatures w14:val="none"/>
        </w:rPr>
        <w:t xml:space="preserve">where </w:t>
      </w:r>
      <w:r w:rsidR="00DA6597" w:rsidRPr="00D13ECC">
        <w:rPr>
          <w:rFonts w:eastAsia="Times New Roman"/>
          <w:kern w:val="0"/>
          <w14:ligatures w14:val="none"/>
        </w:rPr>
        <w:t xml:space="preserve">stenographic notes </w:t>
      </w:r>
      <w:r w:rsidR="00D10016" w:rsidRPr="00D13ECC">
        <w:rPr>
          <w:rFonts w:eastAsia="Times New Roman"/>
          <w:kern w:val="0"/>
          <w14:ligatures w14:val="none"/>
        </w:rPr>
        <w:t>of</w:t>
      </w:r>
      <w:r w:rsidR="00DA6597" w:rsidRPr="00D13ECC">
        <w:rPr>
          <w:rFonts w:eastAsia="Times New Roman"/>
          <w:kern w:val="0"/>
          <w14:ligatures w14:val="none"/>
        </w:rPr>
        <w:t xml:space="preserve"> the summations and the Judge’s charge could not be found</w:t>
      </w:r>
      <w:r w:rsidR="00D57A11" w:rsidRPr="00D13ECC">
        <w:rPr>
          <w:rFonts w:eastAsia="Times New Roman"/>
          <w:kern w:val="0"/>
          <w14:ligatures w14:val="none"/>
        </w:rPr>
        <w:t xml:space="preserve"> and there was no showing</w:t>
      </w:r>
      <w:r w:rsidR="002815C5" w:rsidRPr="00D13ECC">
        <w:rPr>
          <w:rFonts w:eastAsia="Times New Roman"/>
          <w:kern w:val="0"/>
          <w14:ligatures w14:val="none"/>
        </w:rPr>
        <w:t xml:space="preserve"> </w:t>
      </w:r>
      <w:r w:rsidR="00AF333B" w:rsidRPr="00D13ECC">
        <w:rPr>
          <w:rFonts w:eastAsia="Times New Roman"/>
          <w:kern w:val="0"/>
          <w14:ligatures w14:val="none"/>
        </w:rPr>
        <w:t>“</w:t>
      </w:r>
      <w:r w:rsidR="002815C5" w:rsidRPr="00D13ECC">
        <w:rPr>
          <w:rFonts w:eastAsia="Times New Roman"/>
          <w:kern w:val="0"/>
          <w14:ligatures w14:val="none"/>
        </w:rPr>
        <w:t>that there were inadequate means</w:t>
      </w:r>
      <w:r w:rsidR="00456C40" w:rsidRPr="00D13ECC">
        <w:rPr>
          <w:rFonts w:eastAsia="Times New Roman"/>
          <w:kern w:val="0"/>
          <w14:ligatures w14:val="none"/>
        </w:rPr>
        <w:t>” to determine</w:t>
      </w:r>
      <w:r w:rsidR="002815C5" w:rsidRPr="00D13ECC">
        <w:rPr>
          <w:rFonts w:eastAsia="Times New Roman"/>
          <w:kern w:val="0"/>
          <w14:ligatures w14:val="none"/>
        </w:rPr>
        <w:t xml:space="preserve"> whether </w:t>
      </w:r>
      <w:r w:rsidR="0062122F" w:rsidRPr="00D13ECC">
        <w:rPr>
          <w:rFonts w:eastAsia="Times New Roman"/>
          <w:kern w:val="0"/>
          <w14:ligatures w14:val="none"/>
        </w:rPr>
        <w:t>“</w:t>
      </w:r>
      <w:r w:rsidR="002815C5" w:rsidRPr="00D13ECC">
        <w:rPr>
          <w:rFonts w:eastAsia="Times New Roman"/>
          <w:kern w:val="0"/>
          <w14:ligatures w14:val="none"/>
        </w:rPr>
        <w:t xml:space="preserve">appealable </w:t>
      </w:r>
      <w:r w:rsidR="00B404D4" w:rsidRPr="00D13ECC">
        <w:rPr>
          <w:rFonts w:eastAsia="Times New Roman"/>
          <w:kern w:val="0"/>
          <w14:ligatures w14:val="none"/>
        </w:rPr>
        <w:t xml:space="preserve">and reviewable issues were present,” </w:t>
      </w:r>
      <w:r w:rsidR="00944874" w:rsidRPr="00D13ECC">
        <w:rPr>
          <w:rFonts w:eastAsia="Times New Roman"/>
          <w:kern w:val="0"/>
          <w14:ligatures w14:val="none"/>
        </w:rPr>
        <w:t xml:space="preserve">the defendant </w:t>
      </w:r>
      <w:r w:rsidR="009B447B" w:rsidRPr="00D13ECC">
        <w:rPr>
          <w:rFonts w:eastAsia="Times New Roman"/>
          <w:kern w:val="0"/>
          <w14:ligatures w14:val="none"/>
        </w:rPr>
        <w:t>had</w:t>
      </w:r>
      <w:r w:rsidR="00FB4784" w:rsidRPr="00D13ECC">
        <w:rPr>
          <w:rFonts w:eastAsia="Times New Roman"/>
          <w:kern w:val="0"/>
          <w14:ligatures w14:val="none"/>
        </w:rPr>
        <w:t xml:space="preserve"> “</w:t>
      </w:r>
      <w:r w:rsidR="00944874" w:rsidRPr="00D13ECC">
        <w:rPr>
          <w:rFonts w:eastAsia="Times New Roman"/>
          <w:kern w:val="0"/>
          <w14:ligatures w14:val="none"/>
        </w:rPr>
        <w:t>not met his burden of overcoming the presumption of regularity that attaches to his trial</w:t>
      </w:r>
      <w:r w:rsidR="00095C91" w:rsidRPr="00D13ECC">
        <w:rPr>
          <w:rFonts w:eastAsia="Times New Roman"/>
          <w:kern w:val="0"/>
          <w14:ligatures w14:val="none"/>
        </w:rPr>
        <w:t>”]</w:t>
      </w:r>
      <w:r w:rsidR="0057308C" w:rsidRPr="00D13ECC">
        <w:rPr>
          <w:rFonts w:eastAsia="Times New Roman"/>
          <w:kern w:val="0"/>
          <w14:ligatures w14:val="none"/>
        </w:rPr>
        <w:t>)</w:t>
      </w:r>
      <w:r w:rsidR="00095C91" w:rsidRPr="00D13ECC">
        <w:rPr>
          <w:rFonts w:eastAsia="Times New Roman"/>
          <w:kern w:val="0"/>
          <w14:ligatures w14:val="none"/>
        </w:rPr>
        <w:t xml:space="preserve">; </w:t>
      </w:r>
      <w:r w:rsidR="005B4F2B" w:rsidRPr="00D13ECC">
        <w:rPr>
          <w:i/>
          <w:iCs/>
          <w:kern w:val="0"/>
          <w:bdr w:val="none" w:sz="0" w:space="0" w:color="auto" w:frame="1"/>
          <w14:ligatures w14:val="none"/>
        </w:rPr>
        <w:t>People v Ramos</w:t>
      </w:r>
      <w:r w:rsidR="005B4F2B" w:rsidRPr="00D13ECC">
        <w:rPr>
          <w:kern w:val="0"/>
          <w14:ligatures w14:val="none"/>
        </w:rPr>
        <w:t xml:space="preserve"> </w:t>
      </w:r>
      <w:r w:rsidR="0057308C" w:rsidRPr="00D13ECC">
        <w:rPr>
          <w:kern w:val="0"/>
          <w14:ligatures w14:val="none"/>
        </w:rPr>
        <w:t>(</w:t>
      </w:r>
      <w:r w:rsidR="005B4F2B" w:rsidRPr="00D13ECC">
        <w:rPr>
          <w:kern w:val="0"/>
          <w14:ligatures w14:val="none"/>
        </w:rPr>
        <w:t>189 AD3d 586, 586</w:t>
      </w:r>
      <w:r w:rsidR="00A632F8" w:rsidRPr="00D13ECC">
        <w:rPr>
          <w:kern w:val="0"/>
          <w14:ligatures w14:val="none"/>
        </w:rPr>
        <w:t xml:space="preserve"> </w:t>
      </w:r>
      <w:r w:rsidR="009B447B" w:rsidRPr="00D13ECC">
        <w:rPr>
          <w:kern w:val="0"/>
          <w14:ligatures w14:val="none"/>
        </w:rPr>
        <w:t xml:space="preserve">[1st Dept </w:t>
      </w:r>
      <w:r w:rsidR="005B4F2B" w:rsidRPr="00D13ECC">
        <w:rPr>
          <w:kern w:val="0"/>
          <w14:ligatures w14:val="none"/>
        </w:rPr>
        <w:t>2020</w:t>
      </w:r>
      <w:r w:rsidR="009B447B" w:rsidRPr="00D13ECC">
        <w:rPr>
          <w:kern w:val="0"/>
          <w14:ligatures w14:val="none"/>
        </w:rPr>
        <w:t>]</w:t>
      </w:r>
      <w:r w:rsidR="00AF0AF2" w:rsidRPr="00D13ECC">
        <w:rPr>
          <w14:ligatures w14:val="none"/>
        </w:rPr>
        <w:t xml:space="preserve"> </w:t>
      </w:r>
      <w:r w:rsidR="00095C91" w:rsidRPr="00D13ECC">
        <w:rPr>
          <w14:ligatures w14:val="none"/>
        </w:rPr>
        <w:t>[“</w:t>
      </w:r>
      <w:r w:rsidR="00AF0AF2" w:rsidRPr="00D13ECC">
        <w:rPr>
          <w14:ligatures w14:val="none"/>
        </w:rPr>
        <w:t xml:space="preserve">Under the </w:t>
      </w:r>
      <w:r w:rsidR="00AF0AF2" w:rsidRPr="00D13ECC">
        <w:rPr>
          <w:bdr w:val="none" w:sz="0" w:space="0" w:color="auto" w:frame="1"/>
          <w:shd w:val="clear" w:color="auto" w:fill="FFFFFF"/>
          <w14:ligatures w14:val="none"/>
        </w:rPr>
        <w:t>presumption</w:t>
      </w:r>
      <w:r w:rsidR="00AF0AF2" w:rsidRPr="00D13ECC">
        <w:rPr>
          <w14:ligatures w14:val="none"/>
        </w:rPr>
        <w:t xml:space="preserve"> </w:t>
      </w:r>
      <w:r w:rsidR="00AF0AF2" w:rsidRPr="00D13ECC">
        <w:rPr>
          <w:bdr w:val="none" w:sz="0" w:space="0" w:color="auto" w:frame="1"/>
          <w:shd w:val="clear" w:color="auto" w:fill="FFFFFF"/>
          <w14:ligatures w14:val="none"/>
        </w:rPr>
        <w:t>of</w:t>
      </w:r>
      <w:r w:rsidR="00AF0AF2" w:rsidRPr="00D13ECC">
        <w:rPr>
          <w14:ligatures w14:val="none"/>
        </w:rPr>
        <w:t xml:space="preserve"> </w:t>
      </w:r>
      <w:r w:rsidR="00AF0AF2" w:rsidRPr="00D13ECC">
        <w:rPr>
          <w:bdr w:val="none" w:sz="0" w:space="0" w:color="auto" w:frame="1"/>
          <w:shd w:val="clear" w:color="auto" w:fill="FFFFFF"/>
          <w14:ligatures w14:val="none"/>
        </w:rPr>
        <w:t>regularity</w:t>
      </w:r>
      <w:r w:rsidR="00AF0AF2" w:rsidRPr="00D13ECC">
        <w:rPr>
          <w14:ligatures w14:val="none"/>
        </w:rPr>
        <w:t xml:space="preserve">, absent specific proof to the contrary, the law presumes that the requirements for a valid </w:t>
      </w:r>
      <w:r w:rsidR="00AF0AF2" w:rsidRPr="00D13ECC">
        <w:rPr>
          <w:bdr w:val="none" w:sz="0" w:space="0" w:color="auto" w:frame="1"/>
          <w:shd w:val="clear" w:color="auto" w:fill="FFFFFF"/>
          <w14:ligatures w14:val="none"/>
        </w:rPr>
        <w:t>waiver</w:t>
      </w:r>
      <w:r w:rsidR="00AF0AF2" w:rsidRPr="00D13ECC">
        <w:rPr>
          <w14:ligatures w14:val="none"/>
        </w:rPr>
        <w:t xml:space="preserve"> of indictment (CPL 195.20) were satisfied</w:t>
      </w:r>
      <w:r w:rsidR="00374553" w:rsidRPr="00D13ECC">
        <w:rPr>
          <w14:ligatures w14:val="none"/>
        </w:rPr>
        <w:t>”</w:t>
      </w:r>
      <w:r w:rsidR="00095C91" w:rsidRPr="00D13ECC">
        <w:rPr>
          <w14:ligatures w14:val="none"/>
        </w:rPr>
        <w:t>]</w:t>
      </w:r>
      <w:r w:rsidR="0065782A" w:rsidRPr="00D13ECC">
        <w:rPr>
          <w14:ligatures w14:val="none"/>
        </w:rPr>
        <w:t>)</w:t>
      </w:r>
      <w:r w:rsidR="00496A5B" w:rsidRPr="00D13ECC">
        <w:rPr>
          <w14:ligatures w14:val="none"/>
        </w:rPr>
        <w:t>.</w:t>
      </w:r>
    </w:p>
    <w:p w14:paraId="4FFE9797" w14:textId="77777777" w:rsidR="00055570" w:rsidRPr="00D13ECC" w:rsidRDefault="00055570" w:rsidP="001A1FCA">
      <w:pPr>
        <w:shd w:val="clear" w:color="auto" w:fill="FFFFFF"/>
        <w:spacing w:before="0"/>
        <w:jc w:val="both"/>
        <w:rPr>
          <w:rFonts w:eastAsia="Times New Roman"/>
          <w:kern w:val="0"/>
          <w14:ligatures w14:val="none"/>
        </w:rPr>
      </w:pPr>
    </w:p>
    <w:p w14:paraId="426091AA" w14:textId="27284C9C" w:rsidR="00537555" w:rsidRPr="00D13ECC" w:rsidRDefault="00D55E64" w:rsidP="001A1FCA">
      <w:pPr>
        <w:shd w:val="clear" w:color="auto" w:fill="FFFFFF"/>
        <w:spacing w:before="0"/>
        <w:jc w:val="both"/>
        <w:rPr>
          <w:rFonts w:eastAsia="Times New Roman"/>
          <w:kern w:val="0"/>
          <w14:ligatures w14:val="none"/>
        </w:rPr>
      </w:pPr>
      <w:r w:rsidRPr="00D13ECC">
        <w:rPr>
          <w:rFonts w:eastAsia="Times New Roman"/>
          <w:kern w:val="0"/>
          <w14:ligatures w14:val="none"/>
        </w:rPr>
        <w:tab/>
      </w:r>
      <w:r w:rsidRPr="00D13ECC">
        <w:rPr>
          <w:rFonts w:eastAsia="Times New Roman"/>
          <w:b/>
          <w:bCs/>
          <w:kern w:val="0"/>
          <w14:ligatures w14:val="none"/>
        </w:rPr>
        <w:t>Subdivision (4)</w:t>
      </w:r>
      <w:r w:rsidR="00EF66FA" w:rsidRPr="00D13ECC">
        <w:rPr>
          <w:rFonts w:eastAsia="Times New Roman"/>
          <w:kern w:val="0"/>
          <w14:ligatures w14:val="none"/>
        </w:rPr>
        <w:t>,</w:t>
      </w:r>
      <w:r w:rsidRPr="00D13ECC">
        <w:rPr>
          <w:rFonts w:eastAsia="Times New Roman"/>
          <w:kern w:val="0"/>
          <w14:ligatures w14:val="none"/>
        </w:rPr>
        <w:t xml:space="preserve"> </w:t>
      </w:r>
      <w:r w:rsidR="00C9408E" w:rsidRPr="00D13ECC">
        <w:rPr>
          <w:rFonts w:eastAsia="Times New Roman"/>
          <w:kern w:val="0"/>
          <w14:ligatures w14:val="none"/>
        </w:rPr>
        <w:t>requiring “substantial evidence” to overcome the presumption of regularity</w:t>
      </w:r>
      <w:r w:rsidR="002F59E5" w:rsidRPr="00D13ECC">
        <w:rPr>
          <w:rFonts w:eastAsia="Times New Roman"/>
          <w:kern w:val="0"/>
          <w14:ligatures w14:val="none"/>
        </w:rPr>
        <w:t>,</w:t>
      </w:r>
      <w:r w:rsidR="004F356C" w:rsidRPr="00D13ECC">
        <w:rPr>
          <w:rFonts w:eastAsia="Times New Roman"/>
          <w:kern w:val="0"/>
          <w14:ligatures w14:val="none"/>
        </w:rPr>
        <w:t xml:space="preserve"> has long been the law</w:t>
      </w:r>
      <w:r w:rsidR="00315069" w:rsidRPr="00D13ECC">
        <w:rPr>
          <w:rFonts w:eastAsia="Times New Roman"/>
          <w:kern w:val="0"/>
          <w14:ligatures w14:val="none"/>
        </w:rPr>
        <w:t xml:space="preserve">. </w:t>
      </w:r>
      <w:r w:rsidR="00452E30" w:rsidRPr="00D13ECC">
        <w:rPr>
          <w:rFonts w:eastAsia="Times New Roman"/>
          <w:kern w:val="0"/>
          <w14:ligatures w14:val="none"/>
        </w:rPr>
        <w:t>(</w:t>
      </w:r>
      <w:r w:rsidR="00315069" w:rsidRPr="00D13ECC">
        <w:rPr>
          <w:rFonts w:eastAsia="Times New Roman"/>
          <w:i/>
          <w:iCs/>
          <w:kern w:val="0"/>
          <w14:ligatures w14:val="none"/>
        </w:rPr>
        <w:t>Velasquez</w:t>
      </w:r>
      <w:r w:rsidR="00315069" w:rsidRPr="00D13ECC">
        <w:rPr>
          <w:rFonts w:eastAsia="Times New Roman"/>
          <w:kern w:val="0"/>
          <w14:ligatures w14:val="none"/>
        </w:rPr>
        <w:t xml:space="preserve">, 1 NY3d </w:t>
      </w:r>
      <w:r w:rsidR="005F33E5" w:rsidRPr="00D13ECC">
        <w:rPr>
          <w:rFonts w:eastAsia="Times New Roman"/>
          <w:kern w:val="0"/>
          <w14:ligatures w14:val="none"/>
        </w:rPr>
        <w:t>at</w:t>
      </w:r>
      <w:r w:rsidR="00315069" w:rsidRPr="00D13ECC">
        <w:rPr>
          <w:rFonts w:eastAsia="Times New Roman"/>
          <w:kern w:val="0"/>
          <w14:ligatures w14:val="none"/>
        </w:rPr>
        <w:t xml:space="preserve"> 48 </w:t>
      </w:r>
      <w:r w:rsidR="00D50847" w:rsidRPr="00D13ECC">
        <w:rPr>
          <w:rFonts w:eastAsia="Times New Roman"/>
          <w:kern w:val="0"/>
          <w14:ligatures w14:val="none"/>
        </w:rPr>
        <w:t>[</w:t>
      </w:r>
      <w:r w:rsidR="001D337E" w:rsidRPr="00D13ECC">
        <w:rPr>
          <w:rFonts w:eastAsia="Times New Roman"/>
          <w:kern w:val="0"/>
          <w14:ligatures w14:val="none"/>
        </w:rPr>
        <w:t xml:space="preserve">a </w:t>
      </w:r>
      <w:r w:rsidR="00315069" w:rsidRPr="00D13ECC">
        <w:rPr>
          <w:rFonts w:eastAsia="Times New Roman"/>
          <w:kern w:val="0"/>
          <w14:ligatures w14:val="none"/>
        </w:rPr>
        <w:t xml:space="preserve">presumption of regularity </w:t>
      </w:r>
      <w:r w:rsidR="001D4633" w:rsidRPr="00D13ECC">
        <w:rPr>
          <w:rFonts w:eastAsia="Times New Roman"/>
          <w:kern w:val="0"/>
          <w14:ligatures w14:val="none"/>
        </w:rPr>
        <w:t>“</w:t>
      </w:r>
      <w:r w:rsidR="00315069" w:rsidRPr="00D13ECC">
        <w:rPr>
          <w:rFonts w:eastAsia="Times New Roman"/>
          <w:kern w:val="0"/>
          <w14:ligatures w14:val="none"/>
        </w:rPr>
        <w:t>may be overcome only by substantial evidence</w:t>
      </w:r>
      <w:r w:rsidR="001D4633" w:rsidRPr="00D13ECC">
        <w:rPr>
          <w:rFonts w:eastAsia="Times New Roman"/>
          <w:kern w:val="0"/>
          <w14:ligatures w14:val="none"/>
        </w:rPr>
        <w:t xml:space="preserve">” </w:t>
      </w:r>
      <w:r w:rsidR="00693978" w:rsidRPr="00D13ECC">
        <w:rPr>
          <w:rFonts w:eastAsia="Times New Roman"/>
          <w:kern w:val="0"/>
          <w14:ligatures w14:val="none"/>
        </w:rPr>
        <w:t>(</w:t>
      </w:r>
      <w:r w:rsidR="001D4633" w:rsidRPr="00D13ECC">
        <w:rPr>
          <w:rFonts w:eastAsia="Times New Roman"/>
          <w:kern w:val="0"/>
          <w14:ligatures w14:val="none"/>
        </w:rPr>
        <w:t>citing</w:t>
      </w:r>
      <w:r w:rsidR="00315069" w:rsidRPr="00D13ECC">
        <w:rPr>
          <w:rFonts w:eastAsia="Times New Roman"/>
          <w:i/>
          <w:iCs/>
          <w:kern w:val="0"/>
          <w14:ligatures w14:val="none"/>
        </w:rPr>
        <w:t xml:space="preserve"> People v Richetti</w:t>
      </w:r>
      <w:r w:rsidR="00315069" w:rsidRPr="00D13ECC">
        <w:rPr>
          <w:rFonts w:eastAsia="Times New Roman"/>
          <w:kern w:val="0"/>
          <w14:ligatures w14:val="none"/>
        </w:rPr>
        <w:t xml:space="preserve">, 302 NY 290, 298 </w:t>
      </w:r>
      <w:r w:rsidR="00693978" w:rsidRPr="00D13ECC">
        <w:rPr>
          <w:rFonts w:eastAsia="Times New Roman"/>
          <w:kern w:val="0"/>
          <w14:ligatures w14:val="none"/>
        </w:rPr>
        <w:t>[</w:t>
      </w:r>
      <w:r w:rsidR="00315069" w:rsidRPr="00D13ECC">
        <w:rPr>
          <w:rFonts w:eastAsia="Times New Roman"/>
          <w:kern w:val="0"/>
          <w14:ligatures w14:val="none"/>
        </w:rPr>
        <w:t>1951</w:t>
      </w:r>
      <w:r w:rsidR="00693978" w:rsidRPr="00D13ECC">
        <w:rPr>
          <w:rFonts w:eastAsia="Times New Roman"/>
          <w:kern w:val="0"/>
          <w14:ligatures w14:val="none"/>
        </w:rPr>
        <w:t>]</w:t>
      </w:r>
      <w:r w:rsidR="001D4633" w:rsidRPr="00D13ECC">
        <w:rPr>
          <w:rFonts w:eastAsia="Times New Roman"/>
          <w:kern w:val="0"/>
          <w14:ligatures w14:val="none"/>
        </w:rPr>
        <w:t xml:space="preserve"> </w:t>
      </w:r>
      <w:r w:rsidR="00693978" w:rsidRPr="00D13ECC">
        <w:rPr>
          <w:rFonts w:eastAsia="Times New Roman"/>
          <w:kern w:val="0"/>
          <w14:ligatures w14:val="none"/>
        </w:rPr>
        <w:t>[</w:t>
      </w:r>
      <w:r w:rsidR="001D4633" w:rsidRPr="00D13ECC">
        <w:rPr>
          <w:rFonts w:eastAsia="Times New Roman"/>
          <w:kern w:val="0"/>
          <w14:ligatures w14:val="none"/>
        </w:rPr>
        <w:t>“A presumption of regularity exists only until contrary substantial evidence appears”</w:t>
      </w:r>
      <w:r w:rsidR="00693978" w:rsidRPr="00D13ECC">
        <w:rPr>
          <w:rFonts w:eastAsia="Times New Roman"/>
          <w:kern w:val="0"/>
          <w14:ligatures w14:val="none"/>
        </w:rPr>
        <w:t>])</w:t>
      </w:r>
      <w:r w:rsidR="001D4633" w:rsidRPr="00D13ECC">
        <w:rPr>
          <w:rFonts w:eastAsia="Times New Roman"/>
          <w:kern w:val="0"/>
          <w14:ligatures w14:val="none"/>
        </w:rPr>
        <w:t>]</w:t>
      </w:r>
      <w:r w:rsidR="00693978" w:rsidRPr="00D13ECC">
        <w:rPr>
          <w:rFonts w:eastAsia="Times New Roman"/>
          <w:kern w:val="0"/>
          <w14:ligatures w14:val="none"/>
        </w:rPr>
        <w:t xml:space="preserve">; </w:t>
      </w:r>
      <w:r w:rsidR="00315069" w:rsidRPr="00D13ECC">
        <w:rPr>
          <w:rFonts w:eastAsia="Times New Roman"/>
          <w:i/>
          <w:iCs/>
          <w:kern w:val="0"/>
          <w14:ligatures w14:val="none"/>
        </w:rPr>
        <w:t>People v Harris</w:t>
      </w:r>
      <w:r w:rsidR="00315069" w:rsidRPr="00D13ECC">
        <w:rPr>
          <w:rFonts w:eastAsia="Times New Roman"/>
          <w:kern w:val="0"/>
          <w14:ligatures w14:val="none"/>
        </w:rPr>
        <w:t>, 61 NY2d 9, 16 [1983]</w:t>
      </w:r>
      <w:r w:rsidR="005F33E5" w:rsidRPr="00D13ECC">
        <w:rPr>
          <w:rFonts w:eastAsia="Times New Roman"/>
          <w:kern w:val="0"/>
          <w14:ligatures w14:val="none"/>
        </w:rPr>
        <w:t xml:space="preserve"> </w:t>
      </w:r>
      <w:r w:rsidR="001D4633" w:rsidRPr="00D13ECC">
        <w:rPr>
          <w:rFonts w:eastAsia="Times New Roman"/>
          <w:kern w:val="0"/>
          <w14:ligatures w14:val="none"/>
        </w:rPr>
        <w:t>[“the presumptions of the validity and regularity of the previous felony convictions</w:t>
      </w:r>
      <w:r w:rsidR="002B213A" w:rsidRPr="00D13ECC">
        <w:rPr>
          <w:rFonts w:eastAsia="Times New Roman"/>
          <w:kern w:val="0"/>
          <w14:ligatures w14:val="none"/>
        </w:rPr>
        <w:t xml:space="preserve"> </w:t>
      </w:r>
      <w:r w:rsidR="001D4633" w:rsidRPr="00D13ECC">
        <w:rPr>
          <w:rFonts w:eastAsia="Times New Roman"/>
          <w:kern w:val="0"/>
          <w14:ligatures w14:val="none"/>
        </w:rPr>
        <w:t xml:space="preserve">. . </w:t>
      </w:r>
      <w:r w:rsidR="00B66B9B" w:rsidRPr="00D13ECC">
        <w:rPr>
          <w:rFonts w:eastAsia="Times New Roman"/>
          <w:kern w:val="0"/>
          <w14:ligatures w14:val="none"/>
        </w:rPr>
        <w:t>.</w:t>
      </w:r>
      <w:r w:rsidR="00553C91" w:rsidRPr="00D13ECC">
        <w:rPr>
          <w:rFonts w:eastAsia="Times New Roman"/>
          <w:kern w:val="0"/>
          <w14:ligatures w14:val="none"/>
        </w:rPr>
        <w:t xml:space="preserve"> </w:t>
      </w:r>
      <w:r w:rsidR="00162817" w:rsidRPr="00D13ECC">
        <w:rPr>
          <w:rFonts w:eastAsia="Times New Roman"/>
          <w:kern w:val="0"/>
          <w14:ligatures w14:val="none"/>
        </w:rPr>
        <w:t xml:space="preserve">were </w:t>
      </w:r>
      <w:r w:rsidR="001D4633" w:rsidRPr="00D13ECC">
        <w:rPr>
          <w:rFonts w:eastAsia="Times New Roman"/>
          <w:kern w:val="0"/>
          <w14:ligatures w14:val="none"/>
        </w:rPr>
        <w:t>not overcome by substantial evidence to the contrary”</w:t>
      </w:r>
      <w:r w:rsidR="00933DB4" w:rsidRPr="00D13ECC">
        <w:rPr>
          <w:rFonts w:eastAsia="Times New Roman"/>
          <w:kern w:val="0"/>
          <w14:ligatures w14:val="none"/>
        </w:rPr>
        <w:t>]</w:t>
      </w:r>
      <w:r w:rsidR="00D44D93" w:rsidRPr="00D13ECC">
        <w:rPr>
          <w:rFonts w:eastAsia="Times New Roman"/>
          <w:kern w:val="0"/>
          <w14:ligatures w14:val="none"/>
        </w:rPr>
        <w:t>;</w:t>
      </w:r>
      <w:bookmarkStart w:id="4" w:name="_Hlk143098904"/>
      <w:r w:rsidR="003E098E" w:rsidRPr="00D13ECC">
        <w:rPr>
          <w:rFonts w:eastAsia="Times New Roman"/>
          <w:b/>
          <w:bCs/>
          <w:i/>
          <w:iCs/>
          <w:kern w:val="0"/>
          <w14:ligatures w14:val="none"/>
        </w:rPr>
        <w:t xml:space="preserve"> </w:t>
      </w:r>
      <w:r w:rsidR="003E098E" w:rsidRPr="00D13ECC">
        <w:rPr>
          <w:rFonts w:eastAsia="Times New Roman"/>
          <w:i/>
          <w:iCs/>
          <w:kern w:val="0"/>
          <w14:ligatures w14:val="none"/>
        </w:rPr>
        <w:t>Steinberg</w:t>
      </w:r>
      <w:r w:rsidR="003E098E" w:rsidRPr="00D13ECC">
        <w:rPr>
          <w:rFonts w:eastAsia="Times New Roman"/>
          <w:kern w:val="0"/>
          <w14:ligatures w14:val="none"/>
        </w:rPr>
        <w:t xml:space="preserve">, 137 AD2d </w:t>
      </w:r>
      <w:r w:rsidR="004607E8" w:rsidRPr="00D13ECC">
        <w:rPr>
          <w:rFonts w:eastAsia="Times New Roman"/>
          <w:kern w:val="0"/>
          <w14:ligatures w14:val="none"/>
        </w:rPr>
        <w:t>at</w:t>
      </w:r>
      <w:r w:rsidR="003E098E" w:rsidRPr="00D13ECC">
        <w:rPr>
          <w:rFonts w:eastAsia="Times New Roman"/>
          <w:kern w:val="0"/>
          <w14:ligatures w14:val="none"/>
        </w:rPr>
        <w:t xml:space="preserve"> 114 </w:t>
      </w:r>
      <w:bookmarkEnd w:id="4"/>
      <w:r w:rsidR="003E098E" w:rsidRPr="00D13ECC">
        <w:rPr>
          <w:rFonts w:eastAsia="Times New Roman"/>
          <w:kern w:val="0"/>
          <w14:ligatures w14:val="none"/>
        </w:rPr>
        <w:t>[“In the absence of substantial evidence to the contrary, the presumption carries</w:t>
      </w:r>
      <w:r w:rsidR="00537555" w:rsidRPr="00D13ECC">
        <w:rPr>
          <w:rFonts w:eastAsia="Times New Roman"/>
          <w:kern w:val="0"/>
          <w14:ligatures w14:val="none"/>
        </w:rPr>
        <w:t>”</w:t>
      </w:r>
      <w:r w:rsidR="004607E8" w:rsidRPr="00D13ECC">
        <w:rPr>
          <w:rFonts w:eastAsia="Times New Roman"/>
          <w:kern w:val="0"/>
          <w14:ligatures w14:val="none"/>
        </w:rPr>
        <w:t>]</w:t>
      </w:r>
      <w:r w:rsidR="00553C91" w:rsidRPr="00D13ECC">
        <w:rPr>
          <w:rFonts w:eastAsia="Times New Roman"/>
          <w:kern w:val="0"/>
          <w14:ligatures w14:val="none"/>
        </w:rPr>
        <w:t>.</w:t>
      </w:r>
      <w:r w:rsidR="004607E8" w:rsidRPr="00D13ECC">
        <w:rPr>
          <w:rFonts w:eastAsia="Times New Roman"/>
          <w:kern w:val="0"/>
          <w14:ligatures w14:val="none"/>
        </w:rPr>
        <w:t>)</w:t>
      </w:r>
      <w:r w:rsidR="000B626B" w:rsidRPr="00D13ECC">
        <w:rPr>
          <w:rFonts w:eastAsia="Times New Roman"/>
          <w:kern w:val="0"/>
          <w14:ligatures w14:val="none"/>
        </w:rPr>
        <w:t xml:space="preserve"> </w:t>
      </w:r>
    </w:p>
    <w:p w14:paraId="3FCDC46D" w14:textId="77777777" w:rsidR="00537555" w:rsidRPr="00D13ECC" w:rsidRDefault="00537555" w:rsidP="001A1FCA">
      <w:pPr>
        <w:shd w:val="clear" w:color="auto" w:fill="FFFFFF"/>
        <w:spacing w:before="0"/>
        <w:jc w:val="both"/>
        <w:rPr>
          <w:rFonts w:eastAsia="Times New Roman"/>
          <w:kern w:val="0"/>
          <w14:ligatures w14:val="none"/>
        </w:rPr>
      </w:pPr>
    </w:p>
    <w:p w14:paraId="61D17DA5" w14:textId="14C6A4CD" w:rsidR="001E01DF" w:rsidRPr="00D13ECC" w:rsidRDefault="00537555" w:rsidP="001A1FCA">
      <w:pPr>
        <w:shd w:val="clear" w:color="auto" w:fill="FFFFFF"/>
        <w:spacing w:before="0"/>
        <w:jc w:val="both"/>
        <w:rPr>
          <w:rFonts w:eastAsia="Times New Roman"/>
          <w:kern w:val="0"/>
          <w14:ligatures w14:val="none"/>
        </w:rPr>
      </w:pPr>
      <w:r w:rsidRPr="00D13ECC">
        <w:rPr>
          <w:rFonts w:eastAsia="Times New Roman"/>
          <w:kern w:val="0"/>
          <w14:ligatures w14:val="none"/>
        </w:rPr>
        <w:tab/>
      </w:r>
      <w:r w:rsidR="00933DB4" w:rsidRPr="00D13ECC">
        <w:rPr>
          <w:rFonts w:eastAsia="Times New Roman"/>
          <w:i/>
          <w:iCs/>
          <w:kern w:val="0"/>
          <w14:ligatures w14:val="none"/>
        </w:rPr>
        <w:t>Richetti</w:t>
      </w:r>
      <w:r w:rsidR="00933DB4" w:rsidRPr="00D13ECC">
        <w:rPr>
          <w:rFonts w:eastAsia="Times New Roman"/>
          <w:kern w:val="0"/>
          <w14:ligatures w14:val="none"/>
        </w:rPr>
        <w:t xml:space="preserve"> added that </w:t>
      </w:r>
      <w:r w:rsidR="00F30964" w:rsidRPr="00D13ECC">
        <w:rPr>
          <w:rFonts w:eastAsia="Times New Roman"/>
          <w:kern w:val="0"/>
          <w14:ligatures w14:val="none"/>
        </w:rPr>
        <w:t>the presumption “</w:t>
      </w:r>
      <w:r w:rsidR="001E01DF" w:rsidRPr="00D13ECC">
        <w:rPr>
          <w:rFonts w:eastAsia="Times New Roman"/>
          <w:kern w:val="0"/>
          <w14:ligatures w14:val="none"/>
        </w:rPr>
        <w:t>forces the opposing party (defendant here) to go forward with proof but, once he does go forward, the presumption is out of the case</w:t>
      </w:r>
      <w:r w:rsidR="0002035B" w:rsidRPr="00D13ECC">
        <w:rPr>
          <w:rFonts w:eastAsia="Times New Roman"/>
          <w:kern w:val="0"/>
          <w14:ligatures w14:val="none"/>
        </w:rPr>
        <w:t xml:space="preserve">.” </w:t>
      </w:r>
      <w:r w:rsidR="00553C91" w:rsidRPr="00D13ECC">
        <w:rPr>
          <w:rFonts w:eastAsia="Times New Roman"/>
          <w:kern w:val="0"/>
          <w14:ligatures w14:val="none"/>
        </w:rPr>
        <w:t>(</w:t>
      </w:r>
      <w:r w:rsidR="0002035B" w:rsidRPr="00D13ECC">
        <w:rPr>
          <w:rFonts w:eastAsia="Times New Roman"/>
          <w:i/>
          <w:iCs/>
          <w:kern w:val="0"/>
          <w14:ligatures w14:val="none"/>
        </w:rPr>
        <w:t xml:space="preserve">Richetti </w:t>
      </w:r>
      <w:r w:rsidR="0002035B" w:rsidRPr="00D13ECC">
        <w:rPr>
          <w:rFonts w:eastAsia="Times New Roman"/>
          <w:kern w:val="0"/>
          <w14:ligatures w14:val="none"/>
        </w:rPr>
        <w:t>at 298</w:t>
      </w:r>
      <w:r w:rsidR="00553C91" w:rsidRPr="00D13ECC">
        <w:rPr>
          <w:rFonts w:eastAsia="Times New Roman"/>
          <w:kern w:val="0"/>
          <w14:ligatures w14:val="none"/>
        </w:rPr>
        <w:t xml:space="preserve">; </w:t>
      </w:r>
      <w:r w:rsidR="00553C91" w:rsidRPr="00D13ECC">
        <w:rPr>
          <w:rFonts w:eastAsia="Times New Roman"/>
          <w:i/>
          <w:iCs/>
          <w:kern w:val="0"/>
          <w14:ligatures w14:val="none"/>
        </w:rPr>
        <w:t>b</w:t>
      </w:r>
      <w:r w:rsidR="0002035B" w:rsidRPr="00D13ECC">
        <w:rPr>
          <w:rFonts w:eastAsia="Times New Roman"/>
          <w:i/>
          <w:iCs/>
          <w:kern w:val="0"/>
          <w14:ligatures w14:val="none"/>
        </w:rPr>
        <w:t>ut see</w:t>
      </w:r>
      <w:r w:rsidR="0002035B" w:rsidRPr="00D13ECC">
        <w:rPr>
          <w:rFonts w:eastAsia="Times New Roman"/>
          <w:kern w:val="0"/>
          <w14:ligatures w14:val="none"/>
        </w:rPr>
        <w:t xml:space="preserve"> Guide to NY Evid rule 3.01</w:t>
      </w:r>
      <w:r w:rsidR="009212D9" w:rsidRPr="00D13ECC">
        <w:rPr>
          <w:rFonts w:eastAsia="Times New Roman"/>
          <w:kern w:val="0"/>
          <w14:ligatures w14:val="none"/>
        </w:rPr>
        <w:t xml:space="preserve">, </w:t>
      </w:r>
      <w:r w:rsidR="003E098E" w:rsidRPr="00D13ECC">
        <w:rPr>
          <w:rFonts w:eastAsia="Times New Roman"/>
          <w:kern w:val="0"/>
          <w14:ligatures w14:val="none"/>
        </w:rPr>
        <w:t>Presumption</w:t>
      </w:r>
      <w:r w:rsidR="00693978" w:rsidRPr="00D13ECC">
        <w:rPr>
          <w:rFonts w:eastAsia="Times New Roman"/>
          <w:kern w:val="0"/>
          <w14:ligatures w14:val="none"/>
        </w:rPr>
        <w:t>s</w:t>
      </w:r>
      <w:r w:rsidR="003E098E" w:rsidRPr="00D13ECC">
        <w:rPr>
          <w:rFonts w:eastAsia="Times New Roman"/>
          <w:kern w:val="0"/>
          <w14:ligatures w14:val="none"/>
        </w:rPr>
        <w:t xml:space="preserve"> in Civil </w:t>
      </w:r>
      <w:r w:rsidR="002D3EC8" w:rsidRPr="00D13ECC">
        <w:rPr>
          <w:rFonts w:eastAsia="Times New Roman"/>
          <w:kern w:val="0"/>
          <w14:ligatures w14:val="none"/>
        </w:rPr>
        <w:t>Proceedings</w:t>
      </w:r>
      <w:r w:rsidR="009212D9" w:rsidRPr="00D13ECC">
        <w:rPr>
          <w:rFonts w:eastAsia="Times New Roman"/>
          <w:kern w:val="0"/>
          <w14:ligatures w14:val="none"/>
        </w:rPr>
        <w:t>.)</w:t>
      </w:r>
    </w:p>
    <w:p w14:paraId="6D535E29" w14:textId="3CCE13DC" w:rsidR="00867FC4" w:rsidRPr="00D13ECC" w:rsidRDefault="00867FC4" w:rsidP="001A1FCA">
      <w:pPr>
        <w:shd w:val="clear" w:color="auto" w:fill="FFFFFF"/>
        <w:spacing w:before="0"/>
        <w:jc w:val="both"/>
        <w:rPr>
          <w:rFonts w:eastAsia="Times New Roman"/>
          <w:kern w:val="0"/>
          <w14:ligatures w14:val="none"/>
        </w:rPr>
      </w:pPr>
    </w:p>
    <w:p w14:paraId="13262647" w14:textId="4F10B2E8" w:rsidR="00116C74" w:rsidRPr="00D13ECC" w:rsidRDefault="00F773A3" w:rsidP="001A1FCA">
      <w:pPr>
        <w:shd w:val="clear" w:color="auto" w:fill="FFFFFF"/>
        <w:spacing w:before="0"/>
        <w:ind w:firstLine="720"/>
        <w:jc w:val="both"/>
        <w:rPr>
          <w:rFonts w:eastAsia="Times New Roman"/>
        </w:rPr>
      </w:pPr>
      <w:r w:rsidRPr="00D13ECC">
        <w:rPr>
          <w:rFonts w:eastAsia="Times New Roman"/>
        </w:rPr>
        <w:t>On what constitutes “substantial evidence” to rebut a presumption, the Court of Appeals in</w:t>
      </w:r>
      <w:r w:rsidRPr="00D13ECC">
        <w:rPr>
          <w:rFonts w:eastAsia="Times New Roman"/>
          <w:i/>
          <w:iCs/>
        </w:rPr>
        <w:t xml:space="preserve"> Matter of FMC Corp. (Peroxygen Chems. Div.) v Unmack</w:t>
      </w:r>
      <w:r w:rsidRPr="00D13ECC">
        <w:rPr>
          <w:rFonts w:eastAsia="Times New Roman"/>
        </w:rPr>
        <w:t xml:space="preserve"> (92 NY2d 179, 187-188 [1998]) explained that</w:t>
      </w:r>
    </w:p>
    <w:p w14:paraId="761EBE01" w14:textId="77777777" w:rsidR="00116C74" w:rsidRPr="00D13ECC" w:rsidRDefault="00116C74" w:rsidP="001A1FCA">
      <w:pPr>
        <w:shd w:val="clear" w:color="auto" w:fill="FFFFFF"/>
        <w:spacing w:before="0"/>
        <w:ind w:firstLine="720"/>
        <w:jc w:val="both"/>
        <w:rPr>
          <w:rFonts w:eastAsia="Times New Roman"/>
        </w:rPr>
      </w:pPr>
    </w:p>
    <w:p w14:paraId="29C9DF40" w14:textId="399722CC" w:rsidR="00F773A3" w:rsidRPr="00D13ECC" w:rsidRDefault="00F773A3" w:rsidP="001A1FCA">
      <w:pPr>
        <w:shd w:val="clear" w:color="auto" w:fill="FFFFFF"/>
        <w:spacing w:before="0"/>
        <w:ind w:firstLine="720"/>
        <w:jc w:val="both"/>
        <w:rPr>
          <w:rFonts w:eastAsia="Times New Roman"/>
        </w:rPr>
      </w:pPr>
      <w:r w:rsidRPr="00D13ECC">
        <w:rPr>
          <w:rFonts w:eastAsia="Times New Roman"/>
        </w:rPr>
        <w:t xml:space="preserve">“generally speaking: </w:t>
      </w:r>
    </w:p>
    <w:p w14:paraId="40867630" w14:textId="77777777" w:rsidR="00F773A3" w:rsidRPr="00D13ECC" w:rsidRDefault="00F773A3" w:rsidP="001A1FCA">
      <w:pPr>
        <w:shd w:val="clear" w:color="auto" w:fill="FFFFFF"/>
        <w:spacing w:before="0"/>
        <w:ind w:left="720" w:right="720"/>
        <w:jc w:val="both"/>
        <w:rPr>
          <w:rFonts w:eastAsia="Times New Roman"/>
        </w:rPr>
      </w:pPr>
    </w:p>
    <w:p w14:paraId="0170E469" w14:textId="77777777" w:rsidR="00F773A3" w:rsidRPr="00D13ECC" w:rsidRDefault="00F773A3" w:rsidP="001A1FCA">
      <w:pPr>
        <w:shd w:val="clear" w:color="auto" w:fill="FFFFFF"/>
        <w:spacing w:before="0"/>
        <w:ind w:left="720" w:right="720"/>
        <w:jc w:val="both"/>
        <w:rPr>
          <w:rFonts w:eastAsia="Times New Roman"/>
        </w:rPr>
      </w:pPr>
      <w:r w:rsidRPr="00D13ECC">
        <w:rPr>
          <w:rFonts w:eastAsia="Times New Roman"/>
        </w:rPr>
        <w:t>“a determination is regarded as being supported by substantial evidence when the proof is so substantial that from it an inference of the existence of the fact found may be drawn reasonably. . . . [I]t means such relevant proof as a reasonable mind may accept as adequate to support a conclusion or ultimate fact . . . . Essential attributes are relevance and a probative character . . . . In final analysis, substantial evidence consists of proof within the whole record of such quality and quantity as to generate conviction in and persuade a fair and detached fact finder that, from that proof as a premise, a conclusion or ultimate fact may be extracted reasonably—probatively and logically.</w:t>
      </w:r>
    </w:p>
    <w:p w14:paraId="62F742DF" w14:textId="77777777" w:rsidR="00F773A3" w:rsidRPr="00D13ECC" w:rsidRDefault="00F773A3" w:rsidP="001A1FCA">
      <w:pPr>
        <w:shd w:val="clear" w:color="auto" w:fill="FFFFFF"/>
        <w:spacing w:before="0"/>
        <w:ind w:left="720" w:right="720"/>
        <w:jc w:val="both"/>
        <w:rPr>
          <w:rFonts w:eastAsia="Times New Roman"/>
        </w:rPr>
      </w:pPr>
    </w:p>
    <w:p w14:paraId="544E84F7" w14:textId="0D23F159" w:rsidR="0096072E" w:rsidRPr="00D13ECC" w:rsidRDefault="00F773A3" w:rsidP="001A1FCA">
      <w:pPr>
        <w:shd w:val="clear" w:color="auto" w:fill="FFFFFF"/>
        <w:spacing w:before="0"/>
        <w:ind w:left="720" w:right="720"/>
        <w:jc w:val="both"/>
      </w:pPr>
      <w:r w:rsidRPr="00D13ECC">
        <w:rPr>
          <w:rFonts w:eastAsia="Times New Roman"/>
        </w:rPr>
        <w:t>“The substantial evidence standard is a minimal standard</w:t>
      </w:r>
      <w:r w:rsidR="000B626B" w:rsidRPr="00D13ECC">
        <w:rPr>
          <w:rFonts w:eastAsia="Times New Roman"/>
        </w:rPr>
        <w:t xml:space="preserve">. </w:t>
      </w:r>
      <w:r w:rsidRPr="00D13ECC">
        <w:rPr>
          <w:rFonts w:eastAsia="Times New Roman"/>
        </w:rPr>
        <w:t>It requires less than ‘clear and convincing evidence,’ and less than proof by ‘a preponderance of the evidence’ ” (citations and some internal quotation marks omitted).</w:t>
      </w:r>
    </w:p>
    <w:sectPr w:rsidR="0096072E" w:rsidRPr="00D13ECC" w:rsidSect="001A1FCA">
      <w:footerReference w:type="default" r:id="rId8"/>
      <w:type w:val="continuous"/>
      <w:pgSz w:w="12240" w:h="15840"/>
      <w:pgMar w:top="1440" w:right="2160" w:bottom="1440" w:left="2160" w:header="99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2C74" w14:textId="77777777" w:rsidR="00674DFC" w:rsidRDefault="00674DFC" w:rsidP="0009036C">
      <w:pPr>
        <w:spacing w:before="0"/>
      </w:pPr>
      <w:r>
        <w:separator/>
      </w:r>
    </w:p>
  </w:endnote>
  <w:endnote w:type="continuationSeparator" w:id="0">
    <w:p w14:paraId="5AA4D9C3" w14:textId="77777777" w:rsidR="00674DFC" w:rsidRDefault="00674DFC" w:rsidP="000903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738731"/>
      <w:docPartObj>
        <w:docPartGallery w:val="Page Numbers (Bottom of Page)"/>
        <w:docPartUnique/>
      </w:docPartObj>
    </w:sdtPr>
    <w:sdtEndPr>
      <w:rPr>
        <w:noProof/>
      </w:rPr>
    </w:sdtEndPr>
    <w:sdtContent>
      <w:p w14:paraId="4E185846" w14:textId="6B711DA3" w:rsidR="0009036C" w:rsidRDefault="000903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44FC" w14:textId="77777777" w:rsidR="00674DFC" w:rsidRDefault="00674DFC" w:rsidP="0009036C">
      <w:pPr>
        <w:spacing w:before="0"/>
      </w:pPr>
      <w:r>
        <w:separator/>
      </w:r>
    </w:p>
  </w:footnote>
  <w:footnote w:type="continuationSeparator" w:id="0">
    <w:p w14:paraId="672C8BBB" w14:textId="77777777" w:rsidR="00674DFC" w:rsidRDefault="00674DFC" w:rsidP="0009036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9640C"/>
    <w:multiLevelType w:val="multilevel"/>
    <w:tmpl w:val="BA7E0D22"/>
    <w:lvl w:ilvl="0">
      <w:start w:val="3"/>
      <w:numFmt w:val="decimal"/>
      <w:lvlText w:val="%1."/>
      <w:lvlJc w:val="left"/>
      <w:pPr>
        <w:ind w:left="563" w:hanging="563"/>
      </w:pPr>
      <w:rPr>
        <w:rFonts w:hint="default"/>
      </w:rPr>
    </w:lvl>
    <w:lvl w:ilvl="1">
      <w:start w:val="7"/>
      <w:numFmt w:val="decimalZero"/>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78D35D3"/>
    <w:multiLevelType w:val="multilevel"/>
    <w:tmpl w:val="33709B5C"/>
    <w:lvl w:ilvl="0">
      <w:start w:val="3"/>
      <w:numFmt w:val="decimal"/>
      <w:lvlText w:val="%1"/>
      <w:lvlJc w:val="left"/>
      <w:pPr>
        <w:ind w:left="750" w:hanging="750"/>
      </w:pPr>
      <w:rPr>
        <w:rFonts w:hint="default"/>
      </w:rPr>
    </w:lvl>
    <w:lvl w:ilvl="1">
      <w:start w:val="1"/>
      <w:numFmt w:val="decimalZero"/>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89717F0"/>
    <w:multiLevelType w:val="hybridMultilevel"/>
    <w:tmpl w:val="BB2AC68A"/>
    <w:lvl w:ilvl="0" w:tplc="3B6E5D84">
      <w:start w:val="1"/>
      <w:numFmt w:val="decimal"/>
      <w:lvlText w:val="%1."/>
      <w:lvlJc w:val="left"/>
      <w:pPr>
        <w:ind w:left="1080" w:hanging="360"/>
      </w:pPr>
      <w:rPr>
        <w:rFonts w:hint="default"/>
        <w:b/>
        <w:bCs/>
        <w:i w:val="0"/>
        <w:i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F37B48"/>
    <w:multiLevelType w:val="hybridMultilevel"/>
    <w:tmpl w:val="4790F2DC"/>
    <w:lvl w:ilvl="0" w:tplc="FFFFFFFF">
      <w:start w:val="1"/>
      <w:numFmt w:val="lowerLetter"/>
      <w:lvlText w:val="(%1)"/>
      <w:lvlJc w:val="left"/>
      <w:pPr>
        <w:ind w:left="1478" w:hanging="398"/>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92C164E"/>
    <w:multiLevelType w:val="hybridMultilevel"/>
    <w:tmpl w:val="4790F2DC"/>
    <w:lvl w:ilvl="0" w:tplc="FA4E1CD4">
      <w:start w:val="1"/>
      <w:numFmt w:val="lowerLetter"/>
      <w:lvlText w:val="(%1)"/>
      <w:lvlJc w:val="left"/>
      <w:pPr>
        <w:ind w:left="1478" w:hanging="39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69870116">
    <w:abstractNumId w:val="2"/>
  </w:num>
  <w:num w:numId="2" w16cid:durableId="1199660388">
    <w:abstractNumId w:val="4"/>
  </w:num>
  <w:num w:numId="3" w16cid:durableId="1427075856">
    <w:abstractNumId w:val="3"/>
  </w:num>
  <w:num w:numId="4" w16cid:durableId="1366440427">
    <w:abstractNumId w:val="1"/>
  </w:num>
  <w:num w:numId="5" w16cid:durableId="142935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C8"/>
    <w:rsid w:val="00002437"/>
    <w:rsid w:val="0000344B"/>
    <w:rsid w:val="00010390"/>
    <w:rsid w:val="00010CC2"/>
    <w:rsid w:val="000122BB"/>
    <w:rsid w:val="00017B94"/>
    <w:rsid w:val="0002035B"/>
    <w:rsid w:val="0002162D"/>
    <w:rsid w:val="0002312A"/>
    <w:rsid w:val="000272D1"/>
    <w:rsid w:val="0002769F"/>
    <w:rsid w:val="000409B5"/>
    <w:rsid w:val="0005102A"/>
    <w:rsid w:val="00055570"/>
    <w:rsid w:val="00065DCC"/>
    <w:rsid w:val="0007279A"/>
    <w:rsid w:val="00075655"/>
    <w:rsid w:val="00075E9F"/>
    <w:rsid w:val="00085393"/>
    <w:rsid w:val="00087ED4"/>
    <w:rsid w:val="0009036C"/>
    <w:rsid w:val="00090596"/>
    <w:rsid w:val="00095C38"/>
    <w:rsid w:val="00095C75"/>
    <w:rsid w:val="00095C91"/>
    <w:rsid w:val="000A543C"/>
    <w:rsid w:val="000B626B"/>
    <w:rsid w:val="000B6A97"/>
    <w:rsid w:val="000C084F"/>
    <w:rsid w:val="000C2AB2"/>
    <w:rsid w:val="000C6711"/>
    <w:rsid w:val="000C769F"/>
    <w:rsid w:val="000E2EA2"/>
    <w:rsid w:val="000E4321"/>
    <w:rsid w:val="000F54B0"/>
    <w:rsid w:val="000F65A2"/>
    <w:rsid w:val="00101A56"/>
    <w:rsid w:val="001075C9"/>
    <w:rsid w:val="00107997"/>
    <w:rsid w:val="0011021E"/>
    <w:rsid w:val="001106EF"/>
    <w:rsid w:val="0011687A"/>
    <w:rsid w:val="00116C74"/>
    <w:rsid w:val="00120A3C"/>
    <w:rsid w:val="001362D6"/>
    <w:rsid w:val="00141D1C"/>
    <w:rsid w:val="00152A48"/>
    <w:rsid w:val="0016191E"/>
    <w:rsid w:val="00162817"/>
    <w:rsid w:val="00176A95"/>
    <w:rsid w:val="0018046C"/>
    <w:rsid w:val="0018537B"/>
    <w:rsid w:val="001A1FCA"/>
    <w:rsid w:val="001B05C9"/>
    <w:rsid w:val="001C09F4"/>
    <w:rsid w:val="001C30FE"/>
    <w:rsid w:val="001C379B"/>
    <w:rsid w:val="001D0ACA"/>
    <w:rsid w:val="001D337E"/>
    <w:rsid w:val="001D4633"/>
    <w:rsid w:val="001E01DF"/>
    <w:rsid w:val="001E4FE8"/>
    <w:rsid w:val="001E532B"/>
    <w:rsid w:val="001E71D3"/>
    <w:rsid w:val="001F33C1"/>
    <w:rsid w:val="00204A60"/>
    <w:rsid w:val="002109FE"/>
    <w:rsid w:val="002132D6"/>
    <w:rsid w:val="00220F6A"/>
    <w:rsid w:val="00223067"/>
    <w:rsid w:val="002243E0"/>
    <w:rsid w:val="00224855"/>
    <w:rsid w:val="0022525A"/>
    <w:rsid w:val="00247395"/>
    <w:rsid w:val="0025252D"/>
    <w:rsid w:val="0025316B"/>
    <w:rsid w:val="00254815"/>
    <w:rsid w:val="002661D1"/>
    <w:rsid w:val="00271926"/>
    <w:rsid w:val="002734ED"/>
    <w:rsid w:val="0027695E"/>
    <w:rsid w:val="0028023D"/>
    <w:rsid w:val="002815C5"/>
    <w:rsid w:val="00287C8E"/>
    <w:rsid w:val="002A308A"/>
    <w:rsid w:val="002B109B"/>
    <w:rsid w:val="002B213A"/>
    <w:rsid w:val="002C3685"/>
    <w:rsid w:val="002D06F5"/>
    <w:rsid w:val="002D2C6B"/>
    <w:rsid w:val="002D333C"/>
    <w:rsid w:val="002D3EC8"/>
    <w:rsid w:val="002D6DB9"/>
    <w:rsid w:val="002D750A"/>
    <w:rsid w:val="002F331D"/>
    <w:rsid w:val="002F490A"/>
    <w:rsid w:val="002F59E5"/>
    <w:rsid w:val="003035A9"/>
    <w:rsid w:val="00307A72"/>
    <w:rsid w:val="003107D9"/>
    <w:rsid w:val="00315069"/>
    <w:rsid w:val="00332F03"/>
    <w:rsid w:val="0034463F"/>
    <w:rsid w:val="003546B5"/>
    <w:rsid w:val="003637D8"/>
    <w:rsid w:val="003660E1"/>
    <w:rsid w:val="00372171"/>
    <w:rsid w:val="00373AEB"/>
    <w:rsid w:val="00374553"/>
    <w:rsid w:val="003775F8"/>
    <w:rsid w:val="003805B1"/>
    <w:rsid w:val="00381F12"/>
    <w:rsid w:val="00383597"/>
    <w:rsid w:val="00384635"/>
    <w:rsid w:val="003862C6"/>
    <w:rsid w:val="003A1DC4"/>
    <w:rsid w:val="003A5D23"/>
    <w:rsid w:val="003B3AA0"/>
    <w:rsid w:val="003B6AF9"/>
    <w:rsid w:val="003B71A7"/>
    <w:rsid w:val="003C29FA"/>
    <w:rsid w:val="003C329C"/>
    <w:rsid w:val="003C33E5"/>
    <w:rsid w:val="003C3B84"/>
    <w:rsid w:val="003E098E"/>
    <w:rsid w:val="003E1BC3"/>
    <w:rsid w:val="003F1AA5"/>
    <w:rsid w:val="003F52D1"/>
    <w:rsid w:val="003F5A5E"/>
    <w:rsid w:val="004001E5"/>
    <w:rsid w:val="004065A7"/>
    <w:rsid w:val="0041019D"/>
    <w:rsid w:val="004166DB"/>
    <w:rsid w:val="00417EFA"/>
    <w:rsid w:val="00426D1C"/>
    <w:rsid w:val="004512D8"/>
    <w:rsid w:val="00452E30"/>
    <w:rsid w:val="00456C40"/>
    <w:rsid w:val="004607E8"/>
    <w:rsid w:val="00461F66"/>
    <w:rsid w:val="00465C79"/>
    <w:rsid w:val="00467494"/>
    <w:rsid w:val="00471C6A"/>
    <w:rsid w:val="00473EB1"/>
    <w:rsid w:val="004838A7"/>
    <w:rsid w:val="004843C4"/>
    <w:rsid w:val="004878D1"/>
    <w:rsid w:val="00496A5B"/>
    <w:rsid w:val="004A5FE2"/>
    <w:rsid w:val="004A7F6D"/>
    <w:rsid w:val="004B47DD"/>
    <w:rsid w:val="004B4DBD"/>
    <w:rsid w:val="004C32D7"/>
    <w:rsid w:val="004C59F1"/>
    <w:rsid w:val="004C68C9"/>
    <w:rsid w:val="004C6BA2"/>
    <w:rsid w:val="004E02CA"/>
    <w:rsid w:val="004E12AC"/>
    <w:rsid w:val="004E2114"/>
    <w:rsid w:val="004F356C"/>
    <w:rsid w:val="004F6765"/>
    <w:rsid w:val="004F7D6F"/>
    <w:rsid w:val="00524461"/>
    <w:rsid w:val="005254F1"/>
    <w:rsid w:val="00525E77"/>
    <w:rsid w:val="00530DD4"/>
    <w:rsid w:val="00537555"/>
    <w:rsid w:val="00540A31"/>
    <w:rsid w:val="005478BF"/>
    <w:rsid w:val="00553C91"/>
    <w:rsid w:val="00556B3B"/>
    <w:rsid w:val="00563386"/>
    <w:rsid w:val="0057308C"/>
    <w:rsid w:val="00575716"/>
    <w:rsid w:val="005815C5"/>
    <w:rsid w:val="00594205"/>
    <w:rsid w:val="005A6F56"/>
    <w:rsid w:val="005A75CB"/>
    <w:rsid w:val="005B4F2B"/>
    <w:rsid w:val="005D0BA7"/>
    <w:rsid w:val="005D2BB0"/>
    <w:rsid w:val="005D5598"/>
    <w:rsid w:val="005E188D"/>
    <w:rsid w:val="005F01C1"/>
    <w:rsid w:val="005F33E5"/>
    <w:rsid w:val="005F4A2B"/>
    <w:rsid w:val="005F7C62"/>
    <w:rsid w:val="00601D4B"/>
    <w:rsid w:val="0060644A"/>
    <w:rsid w:val="0062122F"/>
    <w:rsid w:val="00621A1E"/>
    <w:rsid w:val="0063048A"/>
    <w:rsid w:val="006314B7"/>
    <w:rsid w:val="006327DB"/>
    <w:rsid w:val="00641EA6"/>
    <w:rsid w:val="0064449E"/>
    <w:rsid w:val="00644F1F"/>
    <w:rsid w:val="006543A4"/>
    <w:rsid w:val="0065782A"/>
    <w:rsid w:val="006608A2"/>
    <w:rsid w:val="00660EAF"/>
    <w:rsid w:val="006645F5"/>
    <w:rsid w:val="006667B5"/>
    <w:rsid w:val="00667C73"/>
    <w:rsid w:val="00670A76"/>
    <w:rsid w:val="00674DFC"/>
    <w:rsid w:val="006767C8"/>
    <w:rsid w:val="00680D9A"/>
    <w:rsid w:val="0068470B"/>
    <w:rsid w:val="00687691"/>
    <w:rsid w:val="00693978"/>
    <w:rsid w:val="00696BC6"/>
    <w:rsid w:val="006A3C4C"/>
    <w:rsid w:val="006A55F9"/>
    <w:rsid w:val="006A5698"/>
    <w:rsid w:val="006A5E7C"/>
    <w:rsid w:val="006A6F44"/>
    <w:rsid w:val="006B1C0F"/>
    <w:rsid w:val="006B421D"/>
    <w:rsid w:val="006B7884"/>
    <w:rsid w:val="006C54AB"/>
    <w:rsid w:val="006D3D1C"/>
    <w:rsid w:val="006D57C0"/>
    <w:rsid w:val="006D650C"/>
    <w:rsid w:val="006D703A"/>
    <w:rsid w:val="006D77E0"/>
    <w:rsid w:val="006E19C9"/>
    <w:rsid w:val="006F2DEE"/>
    <w:rsid w:val="006F6B73"/>
    <w:rsid w:val="00731AC5"/>
    <w:rsid w:val="00734E66"/>
    <w:rsid w:val="0074252F"/>
    <w:rsid w:val="00743756"/>
    <w:rsid w:val="007512D1"/>
    <w:rsid w:val="00753EF2"/>
    <w:rsid w:val="007613F8"/>
    <w:rsid w:val="00762050"/>
    <w:rsid w:val="0077652F"/>
    <w:rsid w:val="00784D25"/>
    <w:rsid w:val="00786657"/>
    <w:rsid w:val="0078740E"/>
    <w:rsid w:val="007974A1"/>
    <w:rsid w:val="007A04B6"/>
    <w:rsid w:val="007A57C8"/>
    <w:rsid w:val="007A77E2"/>
    <w:rsid w:val="007B0937"/>
    <w:rsid w:val="007C0964"/>
    <w:rsid w:val="007E4C9C"/>
    <w:rsid w:val="007F2D64"/>
    <w:rsid w:val="0080644C"/>
    <w:rsid w:val="00810E46"/>
    <w:rsid w:val="00811C59"/>
    <w:rsid w:val="008147F1"/>
    <w:rsid w:val="00850189"/>
    <w:rsid w:val="00865396"/>
    <w:rsid w:val="00867FC4"/>
    <w:rsid w:val="0087104A"/>
    <w:rsid w:val="0087780F"/>
    <w:rsid w:val="00880951"/>
    <w:rsid w:val="00892041"/>
    <w:rsid w:val="008944B1"/>
    <w:rsid w:val="008966B4"/>
    <w:rsid w:val="008B2348"/>
    <w:rsid w:val="008C67F1"/>
    <w:rsid w:val="008E576A"/>
    <w:rsid w:val="008F387D"/>
    <w:rsid w:val="008F4156"/>
    <w:rsid w:val="009022AC"/>
    <w:rsid w:val="0090665E"/>
    <w:rsid w:val="00906CC5"/>
    <w:rsid w:val="00907B67"/>
    <w:rsid w:val="009117E4"/>
    <w:rsid w:val="00911F89"/>
    <w:rsid w:val="009212D9"/>
    <w:rsid w:val="009230AF"/>
    <w:rsid w:val="00923F70"/>
    <w:rsid w:val="009309CE"/>
    <w:rsid w:val="00931314"/>
    <w:rsid w:val="00932544"/>
    <w:rsid w:val="00933DB4"/>
    <w:rsid w:val="009418F8"/>
    <w:rsid w:val="00943C67"/>
    <w:rsid w:val="00944874"/>
    <w:rsid w:val="0096072E"/>
    <w:rsid w:val="009608F5"/>
    <w:rsid w:val="00971C14"/>
    <w:rsid w:val="00974A47"/>
    <w:rsid w:val="00994619"/>
    <w:rsid w:val="0099536C"/>
    <w:rsid w:val="009959F2"/>
    <w:rsid w:val="009A53E3"/>
    <w:rsid w:val="009B000F"/>
    <w:rsid w:val="009B0F7E"/>
    <w:rsid w:val="009B10F7"/>
    <w:rsid w:val="009B31DA"/>
    <w:rsid w:val="009B447B"/>
    <w:rsid w:val="009B44EE"/>
    <w:rsid w:val="009B4FC6"/>
    <w:rsid w:val="009B6484"/>
    <w:rsid w:val="009C2A5B"/>
    <w:rsid w:val="009E1878"/>
    <w:rsid w:val="009E6219"/>
    <w:rsid w:val="009E6EFC"/>
    <w:rsid w:val="009F0927"/>
    <w:rsid w:val="009F459B"/>
    <w:rsid w:val="00A12B62"/>
    <w:rsid w:val="00A22B94"/>
    <w:rsid w:val="00A31166"/>
    <w:rsid w:val="00A45B30"/>
    <w:rsid w:val="00A4633F"/>
    <w:rsid w:val="00A52E02"/>
    <w:rsid w:val="00A60A9F"/>
    <w:rsid w:val="00A632F8"/>
    <w:rsid w:val="00A649A0"/>
    <w:rsid w:val="00A71DA2"/>
    <w:rsid w:val="00A75A30"/>
    <w:rsid w:val="00A93D24"/>
    <w:rsid w:val="00AA56E0"/>
    <w:rsid w:val="00AB395F"/>
    <w:rsid w:val="00AB732C"/>
    <w:rsid w:val="00AD1DA5"/>
    <w:rsid w:val="00AD23F5"/>
    <w:rsid w:val="00AD3989"/>
    <w:rsid w:val="00AD4813"/>
    <w:rsid w:val="00AD48FC"/>
    <w:rsid w:val="00AD6749"/>
    <w:rsid w:val="00AE4E58"/>
    <w:rsid w:val="00AF0AF2"/>
    <w:rsid w:val="00AF333B"/>
    <w:rsid w:val="00B1636C"/>
    <w:rsid w:val="00B16784"/>
    <w:rsid w:val="00B1684C"/>
    <w:rsid w:val="00B2212C"/>
    <w:rsid w:val="00B319B5"/>
    <w:rsid w:val="00B3309E"/>
    <w:rsid w:val="00B404D4"/>
    <w:rsid w:val="00B41702"/>
    <w:rsid w:val="00B4593F"/>
    <w:rsid w:val="00B61921"/>
    <w:rsid w:val="00B64C74"/>
    <w:rsid w:val="00B64FA0"/>
    <w:rsid w:val="00B66B9B"/>
    <w:rsid w:val="00B6763C"/>
    <w:rsid w:val="00B83363"/>
    <w:rsid w:val="00B9190D"/>
    <w:rsid w:val="00B9565B"/>
    <w:rsid w:val="00BA1871"/>
    <w:rsid w:val="00BA3A59"/>
    <w:rsid w:val="00BA5238"/>
    <w:rsid w:val="00BB1D5A"/>
    <w:rsid w:val="00BC3527"/>
    <w:rsid w:val="00BC6035"/>
    <w:rsid w:val="00BD1D8D"/>
    <w:rsid w:val="00BE5CA5"/>
    <w:rsid w:val="00BF315C"/>
    <w:rsid w:val="00C01B7F"/>
    <w:rsid w:val="00C17539"/>
    <w:rsid w:val="00C1786B"/>
    <w:rsid w:val="00C37F3C"/>
    <w:rsid w:val="00C41483"/>
    <w:rsid w:val="00C46033"/>
    <w:rsid w:val="00C77461"/>
    <w:rsid w:val="00C863CB"/>
    <w:rsid w:val="00C9408E"/>
    <w:rsid w:val="00C966AA"/>
    <w:rsid w:val="00CB0687"/>
    <w:rsid w:val="00CB189F"/>
    <w:rsid w:val="00CB3BFF"/>
    <w:rsid w:val="00CE3710"/>
    <w:rsid w:val="00CF2FE7"/>
    <w:rsid w:val="00D00019"/>
    <w:rsid w:val="00D10016"/>
    <w:rsid w:val="00D13ECC"/>
    <w:rsid w:val="00D23A78"/>
    <w:rsid w:val="00D44D93"/>
    <w:rsid w:val="00D50847"/>
    <w:rsid w:val="00D52FCF"/>
    <w:rsid w:val="00D54888"/>
    <w:rsid w:val="00D55E64"/>
    <w:rsid w:val="00D57A11"/>
    <w:rsid w:val="00D61C8F"/>
    <w:rsid w:val="00D70507"/>
    <w:rsid w:val="00D72D92"/>
    <w:rsid w:val="00D73BB8"/>
    <w:rsid w:val="00D81EBF"/>
    <w:rsid w:val="00D8544C"/>
    <w:rsid w:val="00D93371"/>
    <w:rsid w:val="00D95775"/>
    <w:rsid w:val="00DA405A"/>
    <w:rsid w:val="00DA6597"/>
    <w:rsid w:val="00DB0061"/>
    <w:rsid w:val="00DB021B"/>
    <w:rsid w:val="00DC5A86"/>
    <w:rsid w:val="00DC6321"/>
    <w:rsid w:val="00DD3819"/>
    <w:rsid w:val="00DD7E85"/>
    <w:rsid w:val="00DE15F0"/>
    <w:rsid w:val="00DF0364"/>
    <w:rsid w:val="00E02FAF"/>
    <w:rsid w:val="00E04E07"/>
    <w:rsid w:val="00E1264F"/>
    <w:rsid w:val="00E14619"/>
    <w:rsid w:val="00E27129"/>
    <w:rsid w:val="00E3049E"/>
    <w:rsid w:val="00E30C02"/>
    <w:rsid w:val="00E31DAF"/>
    <w:rsid w:val="00E337B0"/>
    <w:rsid w:val="00E351EF"/>
    <w:rsid w:val="00E41DA4"/>
    <w:rsid w:val="00E60C5D"/>
    <w:rsid w:val="00E63773"/>
    <w:rsid w:val="00E63E50"/>
    <w:rsid w:val="00E66BE2"/>
    <w:rsid w:val="00E72C35"/>
    <w:rsid w:val="00E74B4A"/>
    <w:rsid w:val="00E7729B"/>
    <w:rsid w:val="00E77981"/>
    <w:rsid w:val="00E939E8"/>
    <w:rsid w:val="00EB5601"/>
    <w:rsid w:val="00EC285F"/>
    <w:rsid w:val="00EC7996"/>
    <w:rsid w:val="00ED48A7"/>
    <w:rsid w:val="00EE021F"/>
    <w:rsid w:val="00EE4A7B"/>
    <w:rsid w:val="00EF5C33"/>
    <w:rsid w:val="00EF66FA"/>
    <w:rsid w:val="00F00953"/>
    <w:rsid w:val="00F1119F"/>
    <w:rsid w:val="00F113E2"/>
    <w:rsid w:val="00F13F8A"/>
    <w:rsid w:val="00F1442E"/>
    <w:rsid w:val="00F30964"/>
    <w:rsid w:val="00F406E8"/>
    <w:rsid w:val="00F42749"/>
    <w:rsid w:val="00F42ED9"/>
    <w:rsid w:val="00F56E0A"/>
    <w:rsid w:val="00F63837"/>
    <w:rsid w:val="00F70E5A"/>
    <w:rsid w:val="00F74B82"/>
    <w:rsid w:val="00F773A3"/>
    <w:rsid w:val="00F833C3"/>
    <w:rsid w:val="00F83684"/>
    <w:rsid w:val="00F9110B"/>
    <w:rsid w:val="00F955E0"/>
    <w:rsid w:val="00F970B2"/>
    <w:rsid w:val="00FA0DA3"/>
    <w:rsid w:val="00FA4EEA"/>
    <w:rsid w:val="00FA63D1"/>
    <w:rsid w:val="00FA7678"/>
    <w:rsid w:val="00FB4784"/>
    <w:rsid w:val="00FD0802"/>
    <w:rsid w:val="00FD55BD"/>
    <w:rsid w:val="00FD7C0B"/>
    <w:rsid w:val="00FE1FBD"/>
    <w:rsid w:val="00FF2350"/>
    <w:rsid w:val="00FF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D003"/>
  <w15:chartTrackingRefBased/>
  <w15:docId w15:val="{5CF00097-DD25-4691-915B-077A51E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paragraph" w:styleId="ListParagraph">
    <w:name w:val="List Paragraph"/>
    <w:basedOn w:val="Normal"/>
    <w:uiPriority w:val="34"/>
    <w:qFormat/>
    <w:rsid w:val="002D333C"/>
    <w:pPr>
      <w:ind w:left="720"/>
      <w:contextualSpacing/>
    </w:pPr>
  </w:style>
  <w:style w:type="character" w:styleId="Hyperlink">
    <w:name w:val="Hyperlink"/>
    <w:basedOn w:val="DefaultParagraphFont"/>
    <w:uiPriority w:val="99"/>
    <w:semiHidden/>
    <w:unhideWhenUsed/>
    <w:rsid w:val="007A77E2"/>
    <w:rPr>
      <w:color w:val="0000FF"/>
      <w:u w:val="single"/>
    </w:rPr>
  </w:style>
  <w:style w:type="character" w:styleId="CommentReference">
    <w:name w:val="annotation reference"/>
    <w:basedOn w:val="DefaultParagraphFont"/>
    <w:uiPriority w:val="99"/>
    <w:semiHidden/>
    <w:unhideWhenUsed/>
    <w:rsid w:val="00C77461"/>
    <w:rPr>
      <w:sz w:val="16"/>
      <w:szCs w:val="16"/>
    </w:rPr>
  </w:style>
  <w:style w:type="paragraph" w:styleId="CommentText">
    <w:name w:val="annotation text"/>
    <w:basedOn w:val="Normal"/>
    <w:link w:val="CommentTextChar"/>
    <w:uiPriority w:val="99"/>
    <w:unhideWhenUsed/>
    <w:rsid w:val="00C77461"/>
    <w:rPr>
      <w:sz w:val="20"/>
      <w:szCs w:val="20"/>
    </w:rPr>
  </w:style>
  <w:style w:type="character" w:customStyle="1" w:styleId="CommentTextChar">
    <w:name w:val="Comment Text Char"/>
    <w:basedOn w:val="DefaultParagraphFont"/>
    <w:link w:val="CommentText"/>
    <w:uiPriority w:val="99"/>
    <w:rsid w:val="00C77461"/>
    <w:rPr>
      <w:sz w:val="20"/>
      <w:szCs w:val="20"/>
    </w:rPr>
  </w:style>
  <w:style w:type="paragraph" w:styleId="CommentSubject">
    <w:name w:val="annotation subject"/>
    <w:basedOn w:val="CommentText"/>
    <w:next w:val="CommentText"/>
    <w:link w:val="CommentSubjectChar"/>
    <w:uiPriority w:val="99"/>
    <w:semiHidden/>
    <w:unhideWhenUsed/>
    <w:rsid w:val="00C77461"/>
    <w:rPr>
      <w:b/>
      <w:bCs/>
    </w:rPr>
  </w:style>
  <w:style w:type="character" w:customStyle="1" w:styleId="CommentSubjectChar">
    <w:name w:val="Comment Subject Char"/>
    <w:basedOn w:val="CommentTextChar"/>
    <w:link w:val="CommentSubject"/>
    <w:uiPriority w:val="99"/>
    <w:semiHidden/>
    <w:rsid w:val="00C77461"/>
    <w:rPr>
      <w:b/>
      <w:bCs/>
      <w:sz w:val="20"/>
      <w:szCs w:val="20"/>
    </w:rPr>
  </w:style>
  <w:style w:type="character" w:customStyle="1" w:styleId="cf01">
    <w:name w:val="cf01"/>
    <w:basedOn w:val="DefaultParagraphFont"/>
    <w:rsid w:val="00931314"/>
    <w:rPr>
      <w:rFonts w:ascii="Segoe UI" w:hAnsi="Segoe UI" w:cs="Segoe UI" w:hint="default"/>
    </w:rPr>
  </w:style>
  <w:style w:type="character" w:customStyle="1" w:styleId="cf11">
    <w:name w:val="cf11"/>
    <w:basedOn w:val="DefaultParagraphFont"/>
    <w:rsid w:val="00931314"/>
    <w:rPr>
      <w:rFonts w:ascii="Segoe UI" w:hAnsi="Segoe UI" w:cs="Segoe UI" w:hint="default"/>
      <w:i/>
      <w:iCs/>
    </w:rPr>
  </w:style>
  <w:style w:type="character" w:customStyle="1" w:styleId="cf21">
    <w:name w:val="cf21"/>
    <w:basedOn w:val="DefaultParagraphFont"/>
    <w:rsid w:val="00931314"/>
    <w:rPr>
      <w:rFonts w:ascii="Segoe UI" w:hAnsi="Segoe UI" w:cs="Segoe UI" w:hint="default"/>
      <w:i/>
      <w:iCs/>
      <w:color w:val="3D3D3D"/>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428">
      <w:bodyDiv w:val="1"/>
      <w:marLeft w:val="0"/>
      <w:marRight w:val="0"/>
      <w:marTop w:val="0"/>
      <w:marBottom w:val="0"/>
      <w:divBdr>
        <w:top w:val="none" w:sz="0" w:space="0" w:color="auto"/>
        <w:left w:val="none" w:sz="0" w:space="0" w:color="auto"/>
        <w:bottom w:val="none" w:sz="0" w:space="0" w:color="auto"/>
        <w:right w:val="none" w:sz="0" w:space="0" w:color="auto"/>
      </w:divBdr>
      <w:divsChild>
        <w:div w:id="1934850100">
          <w:marLeft w:val="0"/>
          <w:marRight w:val="0"/>
          <w:marTop w:val="0"/>
          <w:marBottom w:val="0"/>
          <w:divBdr>
            <w:top w:val="none" w:sz="0" w:space="0" w:color="auto"/>
            <w:left w:val="none" w:sz="0" w:space="0" w:color="auto"/>
            <w:bottom w:val="none" w:sz="0" w:space="0" w:color="auto"/>
            <w:right w:val="none" w:sz="0" w:space="0" w:color="auto"/>
          </w:divBdr>
          <w:divsChild>
            <w:div w:id="1758163172">
              <w:marLeft w:val="0"/>
              <w:marRight w:val="0"/>
              <w:marTop w:val="0"/>
              <w:marBottom w:val="0"/>
              <w:divBdr>
                <w:top w:val="none" w:sz="0" w:space="0" w:color="auto"/>
                <w:left w:val="none" w:sz="0" w:space="0" w:color="auto"/>
                <w:bottom w:val="none" w:sz="0" w:space="0" w:color="auto"/>
                <w:right w:val="none" w:sz="0" w:space="0" w:color="auto"/>
              </w:divBdr>
              <w:divsChild>
                <w:div w:id="15890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4137">
      <w:bodyDiv w:val="1"/>
      <w:marLeft w:val="0"/>
      <w:marRight w:val="0"/>
      <w:marTop w:val="0"/>
      <w:marBottom w:val="0"/>
      <w:divBdr>
        <w:top w:val="none" w:sz="0" w:space="0" w:color="auto"/>
        <w:left w:val="none" w:sz="0" w:space="0" w:color="auto"/>
        <w:bottom w:val="none" w:sz="0" w:space="0" w:color="auto"/>
        <w:right w:val="none" w:sz="0" w:space="0" w:color="auto"/>
      </w:divBdr>
      <w:divsChild>
        <w:div w:id="1550989806">
          <w:marLeft w:val="0"/>
          <w:marRight w:val="0"/>
          <w:marTop w:val="0"/>
          <w:marBottom w:val="0"/>
          <w:divBdr>
            <w:top w:val="none" w:sz="0" w:space="0" w:color="auto"/>
            <w:left w:val="none" w:sz="0" w:space="0" w:color="auto"/>
            <w:bottom w:val="none" w:sz="0" w:space="0" w:color="auto"/>
            <w:right w:val="none" w:sz="0" w:space="0" w:color="auto"/>
          </w:divBdr>
          <w:divsChild>
            <w:div w:id="725101553">
              <w:marLeft w:val="0"/>
              <w:marRight w:val="0"/>
              <w:marTop w:val="0"/>
              <w:marBottom w:val="0"/>
              <w:divBdr>
                <w:top w:val="none" w:sz="0" w:space="0" w:color="auto"/>
                <w:left w:val="none" w:sz="0" w:space="0" w:color="auto"/>
                <w:bottom w:val="none" w:sz="0" w:space="0" w:color="auto"/>
                <w:right w:val="none" w:sz="0" w:space="0" w:color="auto"/>
              </w:divBdr>
              <w:divsChild>
                <w:div w:id="20124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15490">
      <w:bodyDiv w:val="1"/>
      <w:marLeft w:val="0"/>
      <w:marRight w:val="0"/>
      <w:marTop w:val="0"/>
      <w:marBottom w:val="0"/>
      <w:divBdr>
        <w:top w:val="none" w:sz="0" w:space="0" w:color="auto"/>
        <w:left w:val="none" w:sz="0" w:space="0" w:color="auto"/>
        <w:bottom w:val="none" w:sz="0" w:space="0" w:color="auto"/>
        <w:right w:val="none" w:sz="0" w:space="0" w:color="auto"/>
      </w:divBdr>
      <w:divsChild>
        <w:div w:id="1929071318">
          <w:marLeft w:val="0"/>
          <w:marRight w:val="0"/>
          <w:marTop w:val="0"/>
          <w:marBottom w:val="0"/>
          <w:divBdr>
            <w:top w:val="none" w:sz="0" w:space="0" w:color="auto"/>
            <w:left w:val="none" w:sz="0" w:space="0" w:color="auto"/>
            <w:bottom w:val="none" w:sz="0" w:space="0" w:color="auto"/>
            <w:right w:val="none" w:sz="0" w:space="0" w:color="auto"/>
          </w:divBdr>
          <w:divsChild>
            <w:div w:id="880246506">
              <w:marLeft w:val="0"/>
              <w:marRight w:val="0"/>
              <w:marTop w:val="0"/>
              <w:marBottom w:val="0"/>
              <w:divBdr>
                <w:top w:val="none" w:sz="0" w:space="0" w:color="auto"/>
                <w:left w:val="none" w:sz="0" w:space="0" w:color="auto"/>
                <w:bottom w:val="none" w:sz="0" w:space="0" w:color="auto"/>
                <w:right w:val="none" w:sz="0" w:space="0" w:color="auto"/>
              </w:divBdr>
              <w:divsChild>
                <w:div w:id="2464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4186">
      <w:bodyDiv w:val="1"/>
      <w:marLeft w:val="0"/>
      <w:marRight w:val="0"/>
      <w:marTop w:val="0"/>
      <w:marBottom w:val="0"/>
      <w:divBdr>
        <w:top w:val="none" w:sz="0" w:space="0" w:color="auto"/>
        <w:left w:val="none" w:sz="0" w:space="0" w:color="auto"/>
        <w:bottom w:val="none" w:sz="0" w:space="0" w:color="auto"/>
        <w:right w:val="none" w:sz="0" w:space="0" w:color="auto"/>
      </w:divBdr>
      <w:divsChild>
        <w:div w:id="153690508">
          <w:marLeft w:val="0"/>
          <w:marRight w:val="0"/>
          <w:marTop w:val="0"/>
          <w:marBottom w:val="0"/>
          <w:divBdr>
            <w:top w:val="none" w:sz="0" w:space="0" w:color="3D3D3D"/>
            <w:left w:val="none" w:sz="0" w:space="0" w:color="3D3D3D"/>
            <w:bottom w:val="none" w:sz="0" w:space="0" w:color="3D3D3D"/>
            <w:right w:val="none" w:sz="0" w:space="0" w:color="3D3D3D"/>
          </w:divBdr>
          <w:divsChild>
            <w:div w:id="16913764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3766592">
      <w:bodyDiv w:val="1"/>
      <w:marLeft w:val="0"/>
      <w:marRight w:val="0"/>
      <w:marTop w:val="0"/>
      <w:marBottom w:val="0"/>
      <w:divBdr>
        <w:top w:val="none" w:sz="0" w:space="0" w:color="auto"/>
        <w:left w:val="none" w:sz="0" w:space="0" w:color="auto"/>
        <w:bottom w:val="none" w:sz="0" w:space="0" w:color="auto"/>
        <w:right w:val="none" w:sz="0" w:space="0" w:color="auto"/>
      </w:divBdr>
      <w:divsChild>
        <w:div w:id="709257047">
          <w:marLeft w:val="0"/>
          <w:marRight w:val="0"/>
          <w:marTop w:val="0"/>
          <w:marBottom w:val="0"/>
          <w:divBdr>
            <w:top w:val="none" w:sz="0" w:space="0" w:color="auto"/>
            <w:left w:val="none" w:sz="0" w:space="0" w:color="auto"/>
            <w:bottom w:val="none" w:sz="0" w:space="0" w:color="auto"/>
            <w:right w:val="none" w:sz="0" w:space="0" w:color="auto"/>
          </w:divBdr>
          <w:divsChild>
            <w:div w:id="27804361">
              <w:marLeft w:val="0"/>
              <w:marRight w:val="0"/>
              <w:marTop w:val="0"/>
              <w:marBottom w:val="0"/>
              <w:divBdr>
                <w:top w:val="none" w:sz="0" w:space="0" w:color="auto"/>
                <w:left w:val="none" w:sz="0" w:space="0" w:color="auto"/>
                <w:bottom w:val="none" w:sz="0" w:space="0" w:color="auto"/>
                <w:right w:val="none" w:sz="0" w:space="0" w:color="auto"/>
              </w:divBdr>
              <w:divsChild>
                <w:div w:id="3161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71861">
      <w:bodyDiv w:val="1"/>
      <w:marLeft w:val="0"/>
      <w:marRight w:val="0"/>
      <w:marTop w:val="0"/>
      <w:marBottom w:val="0"/>
      <w:divBdr>
        <w:top w:val="none" w:sz="0" w:space="0" w:color="auto"/>
        <w:left w:val="none" w:sz="0" w:space="0" w:color="auto"/>
        <w:bottom w:val="none" w:sz="0" w:space="0" w:color="auto"/>
        <w:right w:val="none" w:sz="0" w:space="0" w:color="auto"/>
      </w:divBdr>
      <w:divsChild>
        <w:div w:id="1961760483">
          <w:marLeft w:val="0"/>
          <w:marRight w:val="0"/>
          <w:marTop w:val="0"/>
          <w:marBottom w:val="0"/>
          <w:divBdr>
            <w:top w:val="none" w:sz="0" w:space="0" w:color="3D3D3D"/>
            <w:left w:val="none" w:sz="0" w:space="0" w:color="3D3D3D"/>
            <w:bottom w:val="none" w:sz="0" w:space="0" w:color="3D3D3D"/>
            <w:right w:val="none" w:sz="0" w:space="0" w:color="3D3D3D"/>
          </w:divBdr>
          <w:divsChild>
            <w:div w:id="18677927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6596990">
      <w:bodyDiv w:val="1"/>
      <w:marLeft w:val="0"/>
      <w:marRight w:val="0"/>
      <w:marTop w:val="0"/>
      <w:marBottom w:val="0"/>
      <w:divBdr>
        <w:top w:val="none" w:sz="0" w:space="0" w:color="auto"/>
        <w:left w:val="none" w:sz="0" w:space="0" w:color="auto"/>
        <w:bottom w:val="none" w:sz="0" w:space="0" w:color="auto"/>
        <w:right w:val="none" w:sz="0" w:space="0" w:color="auto"/>
      </w:divBdr>
      <w:divsChild>
        <w:div w:id="1529760400">
          <w:marLeft w:val="0"/>
          <w:marRight w:val="0"/>
          <w:marTop w:val="0"/>
          <w:marBottom w:val="0"/>
          <w:divBdr>
            <w:top w:val="none" w:sz="0" w:space="0" w:color="auto"/>
            <w:left w:val="none" w:sz="0" w:space="0" w:color="auto"/>
            <w:bottom w:val="none" w:sz="0" w:space="0" w:color="auto"/>
            <w:right w:val="none" w:sz="0" w:space="0" w:color="auto"/>
          </w:divBdr>
          <w:divsChild>
            <w:div w:id="952711201">
              <w:marLeft w:val="0"/>
              <w:marRight w:val="0"/>
              <w:marTop w:val="0"/>
              <w:marBottom w:val="0"/>
              <w:divBdr>
                <w:top w:val="none" w:sz="0" w:space="0" w:color="auto"/>
                <w:left w:val="none" w:sz="0" w:space="0" w:color="auto"/>
                <w:bottom w:val="none" w:sz="0" w:space="0" w:color="auto"/>
                <w:right w:val="none" w:sz="0" w:space="0" w:color="auto"/>
              </w:divBdr>
              <w:divsChild>
                <w:div w:id="4145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47324">
      <w:bodyDiv w:val="1"/>
      <w:marLeft w:val="0"/>
      <w:marRight w:val="0"/>
      <w:marTop w:val="0"/>
      <w:marBottom w:val="0"/>
      <w:divBdr>
        <w:top w:val="none" w:sz="0" w:space="0" w:color="auto"/>
        <w:left w:val="none" w:sz="0" w:space="0" w:color="auto"/>
        <w:bottom w:val="none" w:sz="0" w:space="0" w:color="auto"/>
        <w:right w:val="none" w:sz="0" w:space="0" w:color="auto"/>
      </w:divBdr>
      <w:divsChild>
        <w:div w:id="210700810">
          <w:marLeft w:val="0"/>
          <w:marRight w:val="0"/>
          <w:marTop w:val="0"/>
          <w:marBottom w:val="0"/>
          <w:divBdr>
            <w:top w:val="none" w:sz="0" w:space="0" w:color="auto"/>
            <w:left w:val="none" w:sz="0" w:space="0" w:color="auto"/>
            <w:bottom w:val="none" w:sz="0" w:space="0" w:color="auto"/>
            <w:right w:val="none" w:sz="0" w:space="0" w:color="auto"/>
          </w:divBdr>
          <w:divsChild>
            <w:div w:id="2103335372">
              <w:marLeft w:val="0"/>
              <w:marRight w:val="0"/>
              <w:marTop w:val="0"/>
              <w:marBottom w:val="0"/>
              <w:divBdr>
                <w:top w:val="none" w:sz="0" w:space="0" w:color="auto"/>
                <w:left w:val="none" w:sz="0" w:space="0" w:color="auto"/>
                <w:bottom w:val="none" w:sz="0" w:space="0" w:color="auto"/>
                <w:right w:val="none" w:sz="0" w:space="0" w:color="auto"/>
              </w:divBdr>
              <w:divsChild>
                <w:div w:id="16386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76865">
      <w:bodyDiv w:val="1"/>
      <w:marLeft w:val="0"/>
      <w:marRight w:val="0"/>
      <w:marTop w:val="0"/>
      <w:marBottom w:val="0"/>
      <w:divBdr>
        <w:top w:val="none" w:sz="0" w:space="0" w:color="auto"/>
        <w:left w:val="none" w:sz="0" w:space="0" w:color="auto"/>
        <w:bottom w:val="none" w:sz="0" w:space="0" w:color="auto"/>
        <w:right w:val="none" w:sz="0" w:space="0" w:color="auto"/>
      </w:divBdr>
      <w:divsChild>
        <w:div w:id="96145834">
          <w:marLeft w:val="0"/>
          <w:marRight w:val="0"/>
          <w:marTop w:val="0"/>
          <w:marBottom w:val="0"/>
          <w:divBdr>
            <w:top w:val="none" w:sz="0" w:space="0" w:color="auto"/>
            <w:left w:val="none" w:sz="0" w:space="0" w:color="auto"/>
            <w:bottom w:val="none" w:sz="0" w:space="0" w:color="auto"/>
            <w:right w:val="none" w:sz="0" w:space="0" w:color="auto"/>
          </w:divBdr>
          <w:divsChild>
            <w:div w:id="1773667742">
              <w:marLeft w:val="0"/>
              <w:marRight w:val="0"/>
              <w:marTop w:val="0"/>
              <w:marBottom w:val="0"/>
              <w:divBdr>
                <w:top w:val="none" w:sz="0" w:space="0" w:color="auto"/>
                <w:left w:val="none" w:sz="0" w:space="0" w:color="auto"/>
                <w:bottom w:val="none" w:sz="0" w:space="0" w:color="auto"/>
                <w:right w:val="none" w:sz="0" w:space="0" w:color="auto"/>
              </w:divBdr>
              <w:divsChild>
                <w:div w:id="12984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219">
      <w:bodyDiv w:val="1"/>
      <w:marLeft w:val="0"/>
      <w:marRight w:val="0"/>
      <w:marTop w:val="0"/>
      <w:marBottom w:val="0"/>
      <w:divBdr>
        <w:top w:val="none" w:sz="0" w:space="0" w:color="auto"/>
        <w:left w:val="none" w:sz="0" w:space="0" w:color="auto"/>
        <w:bottom w:val="none" w:sz="0" w:space="0" w:color="auto"/>
        <w:right w:val="none" w:sz="0" w:space="0" w:color="auto"/>
      </w:divBdr>
      <w:divsChild>
        <w:div w:id="1537766993">
          <w:marLeft w:val="0"/>
          <w:marRight w:val="0"/>
          <w:marTop w:val="0"/>
          <w:marBottom w:val="0"/>
          <w:divBdr>
            <w:top w:val="none" w:sz="0" w:space="0" w:color="auto"/>
            <w:left w:val="none" w:sz="0" w:space="0" w:color="auto"/>
            <w:bottom w:val="none" w:sz="0" w:space="0" w:color="auto"/>
            <w:right w:val="none" w:sz="0" w:space="0" w:color="auto"/>
          </w:divBdr>
          <w:divsChild>
            <w:div w:id="27066941">
              <w:marLeft w:val="0"/>
              <w:marRight w:val="0"/>
              <w:marTop w:val="0"/>
              <w:marBottom w:val="0"/>
              <w:divBdr>
                <w:top w:val="none" w:sz="0" w:space="0" w:color="auto"/>
                <w:left w:val="none" w:sz="0" w:space="0" w:color="auto"/>
                <w:bottom w:val="none" w:sz="0" w:space="0" w:color="auto"/>
                <w:right w:val="none" w:sz="0" w:space="0" w:color="auto"/>
              </w:divBdr>
              <w:divsChild>
                <w:div w:id="4547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3025">
      <w:bodyDiv w:val="1"/>
      <w:marLeft w:val="0"/>
      <w:marRight w:val="0"/>
      <w:marTop w:val="0"/>
      <w:marBottom w:val="0"/>
      <w:divBdr>
        <w:top w:val="none" w:sz="0" w:space="0" w:color="auto"/>
        <w:left w:val="none" w:sz="0" w:space="0" w:color="auto"/>
        <w:bottom w:val="none" w:sz="0" w:space="0" w:color="auto"/>
        <w:right w:val="none" w:sz="0" w:space="0" w:color="auto"/>
      </w:divBdr>
      <w:divsChild>
        <w:div w:id="1499728901">
          <w:marLeft w:val="0"/>
          <w:marRight w:val="0"/>
          <w:marTop w:val="0"/>
          <w:marBottom w:val="0"/>
          <w:divBdr>
            <w:top w:val="none" w:sz="0" w:space="0" w:color="auto"/>
            <w:left w:val="none" w:sz="0" w:space="0" w:color="auto"/>
            <w:bottom w:val="none" w:sz="0" w:space="0" w:color="auto"/>
            <w:right w:val="none" w:sz="0" w:space="0" w:color="auto"/>
          </w:divBdr>
          <w:divsChild>
            <w:div w:id="1186095633">
              <w:marLeft w:val="0"/>
              <w:marRight w:val="0"/>
              <w:marTop w:val="0"/>
              <w:marBottom w:val="0"/>
              <w:divBdr>
                <w:top w:val="none" w:sz="0" w:space="0" w:color="auto"/>
                <w:left w:val="none" w:sz="0" w:space="0" w:color="auto"/>
                <w:bottom w:val="none" w:sz="0" w:space="0" w:color="auto"/>
                <w:right w:val="none" w:sz="0" w:space="0" w:color="auto"/>
              </w:divBdr>
              <w:divsChild>
                <w:div w:id="5089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41921">
      <w:bodyDiv w:val="1"/>
      <w:marLeft w:val="0"/>
      <w:marRight w:val="0"/>
      <w:marTop w:val="0"/>
      <w:marBottom w:val="0"/>
      <w:divBdr>
        <w:top w:val="none" w:sz="0" w:space="0" w:color="auto"/>
        <w:left w:val="none" w:sz="0" w:space="0" w:color="auto"/>
        <w:bottom w:val="none" w:sz="0" w:space="0" w:color="auto"/>
        <w:right w:val="none" w:sz="0" w:space="0" w:color="auto"/>
      </w:divBdr>
      <w:divsChild>
        <w:div w:id="1761945137">
          <w:marLeft w:val="0"/>
          <w:marRight w:val="0"/>
          <w:marTop w:val="0"/>
          <w:marBottom w:val="0"/>
          <w:divBdr>
            <w:top w:val="none" w:sz="0" w:space="0" w:color="auto"/>
            <w:left w:val="none" w:sz="0" w:space="0" w:color="auto"/>
            <w:bottom w:val="none" w:sz="0" w:space="0" w:color="auto"/>
            <w:right w:val="none" w:sz="0" w:space="0" w:color="auto"/>
          </w:divBdr>
          <w:divsChild>
            <w:div w:id="1588641">
              <w:marLeft w:val="0"/>
              <w:marRight w:val="0"/>
              <w:marTop w:val="0"/>
              <w:marBottom w:val="0"/>
              <w:divBdr>
                <w:top w:val="none" w:sz="0" w:space="0" w:color="auto"/>
                <w:left w:val="none" w:sz="0" w:space="0" w:color="auto"/>
                <w:bottom w:val="none" w:sz="0" w:space="0" w:color="auto"/>
                <w:right w:val="none" w:sz="0" w:space="0" w:color="auto"/>
              </w:divBdr>
              <w:divsChild>
                <w:div w:id="7032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89391">
      <w:bodyDiv w:val="1"/>
      <w:marLeft w:val="0"/>
      <w:marRight w:val="0"/>
      <w:marTop w:val="0"/>
      <w:marBottom w:val="0"/>
      <w:divBdr>
        <w:top w:val="none" w:sz="0" w:space="0" w:color="auto"/>
        <w:left w:val="none" w:sz="0" w:space="0" w:color="auto"/>
        <w:bottom w:val="none" w:sz="0" w:space="0" w:color="auto"/>
        <w:right w:val="none" w:sz="0" w:space="0" w:color="auto"/>
      </w:divBdr>
      <w:divsChild>
        <w:div w:id="394552052">
          <w:marLeft w:val="0"/>
          <w:marRight w:val="0"/>
          <w:marTop w:val="0"/>
          <w:marBottom w:val="0"/>
          <w:divBdr>
            <w:top w:val="none" w:sz="0" w:space="0" w:color="auto"/>
            <w:left w:val="none" w:sz="0" w:space="0" w:color="auto"/>
            <w:bottom w:val="none" w:sz="0" w:space="0" w:color="auto"/>
            <w:right w:val="none" w:sz="0" w:space="0" w:color="auto"/>
          </w:divBdr>
          <w:divsChild>
            <w:div w:id="1867207913">
              <w:marLeft w:val="0"/>
              <w:marRight w:val="0"/>
              <w:marTop w:val="0"/>
              <w:marBottom w:val="0"/>
              <w:divBdr>
                <w:top w:val="none" w:sz="0" w:space="0" w:color="auto"/>
                <w:left w:val="none" w:sz="0" w:space="0" w:color="auto"/>
                <w:bottom w:val="none" w:sz="0" w:space="0" w:color="auto"/>
                <w:right w:val="none" w:sz="0" w:space="0" w:color="auto"/>
              </w:divBdr>
              <w:divsChild>
                <w:div w:id="8892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80773">
      <w:bodyDiv w:val="1"/>
      <w:marLeft w:val="0"/>
      <w:marRight w:val="0"/>
      <w:marTop w:val="0"/>
      <w:marBottom w:val="0"/>
      <w:divBdr>
        <w:top w:val="none" w:sz="0" w:space="0" w:color="auto"/>
        <w:left w:val="none" w:sz="0" w:space="0" w:color="auto"/>
        <w:bottom w:val="none" w:sz="0" w:space="0" w:color="auto"/>
        <w:right w:val="none" w:sz="0" w:space="0" w:color="auto"/>
      </w:divBdr>
      <w:divsChild>
        <w:div w:id="94329537">
          <w:marLeft w:val="0"/>
          <w:marRight w:val="0"/>
          <w:marTop w:val="0"/>
          <w:marBottom w:val="0"/>
          <w:divBdr>
            <w:top w:val="none" w:sz="0" w:space="0" w:color="auto"/>
            <w:left w:val="none" w:sz="0" w:space="0" w:color="auto"/>
            <w:bottom w:val="none" w:sz="0" w:space="0" w:color="auto"/>
            <w:right w:val="none" w:sz="0" w:space="0" w:color="auto"/>
          </w:divBdr>
          <w:divsChild>
            <w:div w:id="94833755">
              <w:marLeft w:val="0"/>
              <w:marRight w:val="0"/>
              <w:marTop w:val="0"/>
              <w:marBottom w:val="0"/>
              <w:divBdr>
                <w:top w:val="none" w:sz="0" w:space="0" w:color="auto"/>
                <w:left w:val="none" w:sz="0" w:space="0" w:color="auto"/>
                <w:bottom w:val="none" w:sz="0" w:space="0" w:color="auto"/>
                <w:right w:val="none" w:sz="0" w:space="0" w:color="auto"/>
              </w:divBdr>
              <w:divsChild>
                <w:div w:id="934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0897">
      <w:bodyDiv w:val="1"/>
      <w:marLeft w:val="0"/>
      <w:marRight w:val="0"/>
      <w:marTop w:val="0"/>
      <w:marBottom w:val="0"/>
      <w:divBdr>
        <w:top w:val="none" w:sz="0" w:space="0" w:color="auto"/>
        <w:left w:val="none" w:sz="0" w:space="0" w:color="auto"/>
        <w:bottom w:val="none" w:sz="0" w:space="0" w:color="auto"/>
        <w:right w:val="none" w:sz="0" w:space="0" w:color="auto"/>
      </w:divBdr>
      <w:divsChild>
        <w:div w:id="42100919">
          <w:marLeft w:val="0"/>
          <w:marRight w:val="0"/>
          <w:marTop w:val="0"/>
          <w:marBottom w:val="0"/>
          <w:divBdr>
            <w:top w:val="none" w:sz="0" w:space="0" w:color="auto"/>
            <w:left w:val="none" w:sz="0" w:space="0" w:color="auto"/>
            <w:bottom w:val="none" w:sz="0" w:space="0" w:color="auto"/>
            <w:right w:val="none" w:sz="0" w:space="0" w:color="auto"/>
          </w:divBdr>
          <w:divsChild>
            <w:div w:id="630675612">
              <w:marLeft w:val="0"/>
              <w:marRight w:val="0"/>
              <w:marTop w:val="0"/>
              <w:marBottom w:val="0"/>
              <w:divBdr>
                <w:top w:val="none" w:sz="0" w:space="0" w:color="auto"/>
                <w:left w:val="none" w:sz="0" w:space="0" w:color="auto"/>
                <w:bottom w:val="none" w:sz="0" w:space="0" w:color="auto"/>
                <w:right w:val="none" w:sz="0" w:space="0" w:color="auto"/>
              </w:divBdr>
              <w:divsChild>
                <w:div w:id="20569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48327">
      <w:bodyDiv w:val="1"/>
      <w:marLeft w:val="0"/>
      <w:marRight w:val="0"/>
      <w:marTop w:val="0"/>
      <w:marBottom w:val="0"/>
      <w:divBdr>
        <w:top w:val="none" w:sz="0" w:space="0" w:color="auto"/>
        <w:left w:val="none" w:sz="0" w:space="0" w:color="auto"/>
        <w:bottom w:val="none" w:sz="0" w:space="0" w:color="auto"/>
        <w:right w:val="none" w:sz="0" w:space="0" w:color="auto"/>
      </w:divBdr>
      <w:divsChild>
        <w:div w:id="336881213">
          <w:marLeft w:val="0"/>
          <w:marRight w:val="0"/>
          <w:marTop w:val="0"/>
          <w:marBottom w:val="0"/>
          <w:divBdr>
            <w:top w:val="none" w:sz="0" w:space="0" w:color="3D3D3D"/>
            <w:left w:val="none" w:sz="0" w:space="0" w:color="3D3D3D"/>
            <w:bottom w:val="none" w:sz="0" w:space="0" w:color="3D3D3D"/>
            <w:right w:val="none" w:sz="0" w:space="0" w:color="3D3D3D"/>
          </w:divBdr>
          <w:divsChild>
            <w:div w:id="1810437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8944239">
      <w:bodyDiv w:val="1"/>
      <w:marLeft w:val="0"/>
      <w:marRight w:val="0"/>
      <w:marTop w:val="0"/>
      <w:marBottom w:val="0"/>
      <w:divBdr>
        <w:top w:val="none" w:sz="0" w:space="0" w:color="auto"/>
        <w:left w:val="none" w:sz="0" w:space="0" w:color="auto"/>
        <w:bottom w:val="none" w:sz="0" w:space="0" w:color="auto"/>
        <w:right w:val="none" w:sz="0" w:space="0" w:color="auto"/>
      </w:divBdr>
      <w:divsChild>
        <w:div w:id="339936081">
          <w:marLeft w:val="0"/>
          <w:marRight w:val="0"/>
          <w:marTop w:val="0"/>
          <w:marBottom w:val="0"/>
          <w:divBdr>
            <w:top w:val="none" w:sz="0" w:space="0" w:color="auto"/>
            <w:left w:val="none" w:sz="0" w:space="0" w:color="auto"/>
            <w:bottom w:val="none" w:sz="0" w:space="0" w:color="auto"/>
            <w:right w:val="none" w:sz="0" w:space="0" w:color="auto"/>
          </w:divBdr>
          <w:divsChild>
            <w:div w:id="1561865803">
              <w:marLeft w:val="0"/>
              <w:marRight w:val="0"/>
              <w:marTop w:val="0"/>
              <w:marBottom w:val="0"/>
              <w:divBdr>
                <w:top w:val="none" w:sz="0" w:space="0" w:color="auto"/>
                <w:left w:val="none" w:sz="0" w:space="0" w:color="auto"/>
                <w:bottom w:val="none" w:sz="0" w:space="0" w:color="auto"/>
                <w:right w:val="none" w:sz="0" w:space="0" w:color="auto"/>
              </w:divBdr>
              <w:divsChild>
                <w:div w:id="16659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64562">
      <w:bodyDiv w:val="1"/>
      <w:marLeft w:val="0"/>
      <w:marRight w:val="0"/>
      <w:marTop w:val="0"/>
      <w:marBottom w:val="0"/>
      <w:divBdr>
        <w:top w:val="none" w:sz="0" w:space="0" w:color="auto"/>
        <w:left w:val="none" w:sz="0" w:space="0" w:color="auto"/>
        <w:bottom w:val="none" w:sz="0" w:space="0" w:color="auto"/>
        <w:right w:val="none" w:sz="0" w:space="0" w:color="auto"/>
      </w:divBdr>
      <w:divsChild>
        <w:div w:id="238372831">
          <w:marLeft w:val="0"/>
          <w:marRight w:val="0"/>
          <w:marTop w:val="0"/>
          <w:marBottom w:val="0"/>
          <w:divBdr>
            <w:top w:val="none" w:sz="0" w:space="0" w:color="auto"/>
            <w:left w:val="none" w:sz="0" w:space="0" w:color="auto"/>
            <w:bottom w:val="none" w:sz="0" w:space="0" w:color="auto"/>
            <w:right w:val="none" w:sz="0" w:space="0" w:color="auto"/>
          </w:divBdr>
          <w:divsChild>
            <w:div w:id="1037504370">
              <w:marLeft w:val="0"/>
              <w:marRight w:val="0"/>
              <w:marTop w:val="0"/>
              <w:marBottom w:val="0"/>
              <w:divBdr>
                <w:top w:val="none" w:sz="0" w:space="0" w:color="auto"/>
                <w:left w:val="none" w:sz="0" w:space="0" w:color="auto"/>
                <w:bottom w:val="none" w:sz="0" w:space="0" w:color="auto"/>
                <w:right w:val="none" w:sz="0" w:space="0" w:color="auto"/>
              </w:divBdr>
              <w:divsChild>
                <w:div w:id="18021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26137">
      <w:bodyDiv w:val="1"/>
      <w:marLeft w:val="0"/>
      <w:marRight w:val="0"/>
      <w:marTop w:val="0"/>
      <w:marBottom w:val="0"/>
      <w:divBdr>
        <w:top w:val="none" w:sz="0" w:space="0" w:color="auto"/>
        <w:left w:val="none" w:sz="0" w:space="0" w:color="auto"/>
        <w:bottom w:val="none" w:sz="0" w:space="0" w:color="auto"/>
        <w:right w:val="none" w:sz="0" w:space="0" w:color="auto"/>
      </w:divBdr>
      <w:divsChild>
        <w:div w:id="1759591264">
          <w:marLeft w:val="0"/>
          <w:marRight w:val="0"/>
          <w:marTop w:val="0"/>
          <w:marBottom w:val="0"/>
          <w:divBdr>
            <w:top w:val="none" w:sz="0" w:space="0" w:color="auto"/>
            <w:left w:val="none" w:sz="0" w:space="0" w:color="auto"/>
            <w:bottom w:val="none" w:sz="0" w:space="0" w:color="auto"/>
            <w:right w:val="none" w:sz="0" w:space="0" w:color="auto"/>
          </w:divBdr>
          <w:divsChild>
            <w:div w:id="37123333">
              <w:marLeft w:val="0"/>
              <w:marRight w:val="0"/>
              <w:marTop w:val="0"/>
              <w:marBottom w:val="0"/>
              <w:divBdr>
                <w:top w:val="none" w:sz="0" w:space="0" w:color="auto"/>
                <w:left w:val="none" w:sz="0" w:space="0" w:color="auto"/>
                <w:bottom w:val="none" w:sz="0" w:space="0" w:color="auto"/>
                <w:right w:val="none" w:sz="0" w:space="0" w:color="auto"/>
              </w:divBdr>
              <w:divsChild>
                <w:div w:id="5900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5183">
      <w:bodyDiv w:val="1"/>
      <w:marLeft w:val="0"/>
      <w:marRight w:val="0"/>
      <w:marTop w:val="0"/>
      <w:marBottom w:val="0"/>
      <w:divBdr>
        <w:top w:val="none" w:sz="0" w:space="0" w:color="auto"/>
        <w:left w:val="none" w:sz="0" w:space="0" w:color="auto"/>
        <w:bottom w:val="none" w:sz="0" w:space="0" w:color="auto"/>
        <w:right w:val="none" w:sz="0" w:space="0" w:color="auto"/>
      </w:divBdr>
      <w:divsChild>
        <w:div w:id="776798471">
          <w:marLeft w:val="0"/>
          <w:marRight w:val="0"/>
          <w:marTop w:val="0"/>
          <w:marBottom w:val="0"/>
          <w:divBdr>
            <w:top w:val="none" w:sz="0" w:space="0" w:color="auto"/>
            <w:left w:val="none" w:sz="0" w:space="0" w:color="auto"/>
            <w:bottom w:val="none" w:sz="0" w:space="0" w:color="auto"/>
            <w:right w:val="none" w:sz="0" w:space="0" w:color="auto"/>
          </w:divBdr>
          <w:divsChild>
            <w:div w:id="776674377">
              <w:marLeft w:val="0"/>
              <w:marRight w:val="0"/>
              <w:marTop w:val="0"/>
              <w:marBottom w:val="0"/>
              <w:divBdr>
                <w:top w:val="none" w:sz="0" w:space="0" w:color="auto"/>
                <w:left w:val="none" w:sz="0" w:space="0" w:color="auto"/>
                <w:bottom w:val="none" w:sz="0" w:space="0" w:color="auto"/>
                <w:right w:val="none" w:sz="0" w:space="0" w:color="auto"/>
              </w:divBdr>
              <w:divsChild>
                <w:div w:id="17862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1593">
      <w:bodyDiv w:val="1"/>
      <w:marLeft w:val="0"/>
      <w:marRight w:val="0"/>
      <w:marTop w:val="0"/>
      <w:marBottom w:val="0"/>
      <w:divBdr>
        <w:top w:val="none" w:sz="0" w:space="0" w:color="auto"/>
        <w:left w:val="none" w:sz="0" w:space="0" w:color="auto"/>
        <w:bottom w:val="none" w:sz="0" w:space="0" w:color="auto"/>
        <w:right w:val="none" w:sz="0" w:space="0" w:color="auto"/>
      </w:divBdr>
      <w:divsChild>
        <w:div w:id="423302451">
          <w:marLeft w:val="0"/>
          <w:marRight w:val="0"/>
          <w:marTop w:val="0"/>
          <w:marBottom w:val="0"/>
          <w:divBdr>
            <w:top w:val="none" w:sz="0" w:space="0" w:color="3D3D3D"/>
            <w:left w:val="none" w:sz="0" w:space="0" w:color="3D3D3D"/>
            <w:bottom w:val="none" w:sz="0" w:space="0" w:color="3D3D3D"/>
            <w:right w:val="none" w:sz="0" w:space="0" w:color="3D3D3D"/>
          </w:divBdr>
          <w:divsChild>
            <w:div w:id="1138640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0329431">
      <w:bodyDiv w:val="1"/>
      <w:marLeft w:val="0"/>
      <w:marRight w:val="0"/>
      <w:marTop w:val="0"/>
      <w:marBottom w:val="0"/>
      <w:divBdr>
        <w:top w:val="none" w:sz="0" w:space="0" w:color="auto"/>
        <w:left w:val="none" w:sz="0" w:space="0" w:color="auto"/>
        <w:bottom w:val="none" w:sz="0" w:space="0" w:color="auto"/>
        <w:right w:val="none" w:sz="0" w:space="0" w:color="auto"/>
      </w:divBdr>
      <w:divsChild>
        <w:div w:id="576327690">
          <w:marLeft w:val="0"/>
          <w:marRight w:val="0"/>
          <w:marTop w:val="0"/>
          <w:marBottom w:val="0"/>
          <w:divBdr>
            <w:top w:val="none" w:sz="0" w:space="0" w:color="3D3D3D"/>
            <w:left w:val="none" w:sz="0" w:space="0" w:color="3D3D3D"/>
            <w:bottom w:val="none" w:sz="0" w:space="0" w:color="3D3D3D"/>
            <w:right w:val="none" w:sz="0" w:space="0" w:color="3D3D3D"/>
          </w:divBdr>
          <w:divsChild>
            <w:div w:id="15647503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5131446">
      <w:bodyDiv w:val="1"/>
      <w:marLeft w:val="0"/>
      <w:marRight w:val="0"/>
      <w:marTop w:val="0"/>
      <w:marBottom w:val="0"/>
      <w:divBdr>
        <w:top w:val="none" w:sz="0" w:space="0" w:color="auto"/>
        <w:left w:val="none" w:sz="0" w:space="0" w:color="auto"/>
        <w:bottom w:val="none" w:sz="0" w:space="0" w:color="auto"/>
        <w:right w:val="none" w:sz="0" w:space="0" w:color="auto"/>
      </w:divBdr>
      <w:divsChild>
        <w:div w:id="1874491213">
          <w:marLeft w:val="0"/>
          <w:marRight w:val="0"/>
          <w:marTop w:val="0"/>
          <w:marBottom w:val="0"/>
          <w:divBdr>
            <w:top w:val="none" w:sz="0" w:space="0" w:color="auto"/>
            <w:left w:val="none" w:sz="0" w:space="0" w:color="auto"/>
            <w:bottom w:val="none" w:sz="0" w:space="0" w:color="auto"/>
            <w:right w:val="none" w:sz="0" w:space="0" w:color="auto"/>
          </w:divBdr>
          <w:divsChild>
            <w:div w:id="66610703">
              <w:marLeft w:val="0"/>
              <w:marRight w:val="0"/>
              <w:marTop w:val="0"/>
              <w:marBottom w:val="0"/>
              <w:divBdr>
                <w:top w:val="none" w:sz="0" w:space="0" w:color="auto"/>
                <w:left w:val="none" w:sz="0" w:space="0" w:color="auto"/>
                <w:bottom w:val="none" w:sz="0" w:space="0" w:color="auto"/>
                <w:right w:val="none" w:sz="0" w:space="0" w:color="auto"/>
              </w:divBdr>
              <w:divsChild>
                <w:div w:id="10543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39252">
      <w:bodyDiv w:val="1"/>
      <w:marLeft w:val="0"/>
      <w:marRight w:val="0"/>
      <w:marTop w:val="0"/>
      <w:marBottom w:val="0"/>
      <w:divBdr>
        <w:top w:val="none" w:sz="0" w:space="0" w:color="auto"/>
        <w:left w:val="none" w:sz="0" w:space="0" w:color="auto"/>
        <w:bottom w:val="none" w:sz="0" w:space="0" w:color="auto"/>
        <w:right w:val="none" w:sz="0" w:space="0" w:color="auto"/>
      </w:divBdr>
      <w:divsChild>
        <w:div w:id="434325085">
          <w:marLeft w:val="0"/>
          <w:marRight w:val="0"/>
          <w:marTop w:val="0"/>
          <w:marBottom w:val="0"/>
          <w:divBdr>
            <w:top w:val="none" w:sz="0" w:space="0" w:color="auto"/>
            <w:left w:val="none" w:sz="0" w:space="0" w:color="auto"/>
            <w:bottom w:val="none" w:sz="0" w:space="0" w:color="auto"/>
            <w:right w:val="none" w:sz="0" w:space="0" w:color="auto"/>
          </w:divBdr>
          <w:divsChild>
            <w:div w:id="1198468500">
              <w:marLeft w:val="0"/>
              <w:marRight w:val="0"/>
              <w:marTop w:val="0"/>
              <w:marBottom w:val="0"/>
              <w:divBdr>
                <w:top w:val="none" w:sz="0" w:space="0" w:color="auto"/>
                <w:left w:val="none" w:sz="0" w:space="0" w:color="auto"/>
                <w:bottom w:val="none" w:sz="0" w:space="0" w:color="auto"/>
                <w:right w:val="none" w:sz="0" w:space="0" w:color="auto"/>
              </w:divBdr>
              <w:divsChild>
                <w:div w:id="8736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6622">
      <w:bodyDiv w:val="1"/>
      <w:marLeft w:val="0"/>
      <w:marRight w:val="0"/>
      <w:marTop w:val="0"/>
      <w:marBottom w:val="0"/>
      <w:divBdr>
        <w:top w:val="none" w:sz="0" w:space="0" w:color="auto"/>
        <w:left w:val="none" w:sz="0" w:space="0" w:color="auto"/>
        <w:bottom w:val="none" w:sz="0" w:space="0" w:color="auto"/>
        <w:right w:val="none" w:sz="0" w:space="0" w:color="auto"/>
      </w:divBdr>
      <w:divsChild>
        <w:div w:id="2093622117">
          <w:marLeft w:val="0"/>
          <w:marRight w:val="0"/>
          <w:marTop w:val="0"/>
          <w:marBottom w:val="0"/>
          <w:divBdr>
            <w:top w:val="none" w:sz="0" w:space="0" w:color="auto"/>
            <w:left w:val="none" w:sz="0" w:space="0" w:color="auto"/>
            <w:bottom w:val="none" w:sz="0" w:space="0" w:color="auto"/>
            <w:right w:val="none" w:sz="0" w:space="0" w:color="auto"/>
          </w:divBdr>
          <w:divsChild>
            <w:div w:id="916062575">
              <w:marLeft w:val="0"/>
              <w:marRight w:val="0"/>
              <w:marTop w:val="0"/>
              <w:marBottom w:val="0"/>
              <w:divBdr>
                <w:top w:val="none" w:sz="0" w:space="0" w:color="auto"/>
                <w:left w:val="none" w:sz="0" w:space="0" w:color="auto"/>
                <w:bottom w:val="none" w:sz="0" w:space="0" w:color="auto"/>
                <w:right w:val="none" w:sz="0" w:space="0" w:color="auto"/>
              </w:divBdr>
              <w:divsChild>
                <w:div w:id="6504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3649">
      <w:bodyDiv w:val="1"/>
      <w:marLeft w:val="0"/>
      <w:marRight w:val="0"/>
      <w:marTop w:val="0"/>
      <w:marBottom w:val="0"/>
      <w:divBdr>
        <w:top w:val="none" w:sz="0" w:space="0" w:color="auto"/>
        <w:left w:val="none" w:sz="0" w:space="0" w:color="auto"/>
        <w:bottom w:val="none" w:sz="0" w:space="0" w:color="auto"/>
        <w:right w:val="none" w:sz="0" w:space="0" w:color="auto"/>
      </w:divBdr>
      <w:divsChild>
        <w:div w:id="1120612605">
          <w:marLeft w:val="0"/>
          <w:marRight w:val="0"/>
          <w:marTop w:val="0"/>
          <w:marBottom w:val="0"/>
          <w:divBdr>
            <w:top w:val="none" w:sz="0" w:space="0" w:color="auto"/>
            <w:left w:val="none" w:sz="0" w:space="0" w:color="auto"/>
            <w:bottom w:val="none" w:sz="0" w:space="0" w:color="auto"/>
            <w:right w:val="none" w:sz="0" w:space="0" w:color="auto"/>
          </w:divBdr>
          <w:divsChild>
            <w:div w:id="1829590981">
              <w:marLeft w:val="0"/>
              <w:marRight w:val="0"/>
              <w:marTop w:val="0"/>
              <w:marBottom w:val="0"/>
              <w:divBdr>
                <w:top w:val="none" w:sz="0" w:space="0" w:color="auto"/>
                <w:left w:val="none" w:sz="0" w:space="0" w:color="auto"/>
                <w:bottom w:val="none" w:sz="0" w:space="0" w:color="auto"/>
                <w:right w:val="none" w:sz="0" w:space="0" w:color="auto"/>
              </w:divBdr>
              <w:divsChild>
                <w:div w:id="3682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3671">
      <w:bodyDiv w:val="1"/>
      <w:marLeft w:val="0"/>
      <w:marRight w:val="0"/>
      <w:marTop w:val="0"/>
      <w:marBottom w:val="0"/>
      <w:divBdr>
        <w:top w:val="none" w:sz="0" w:space="0" w:color="auto"/>
        <w:left w:val="none" w:sz="0" w:space="0" w:color="auto"/>
        <w:bottom w:val="none" w:sz="0" w:space="0" w:color="auto"/>
        <w:right w:val="none" w:sz="0" w:space="0" w:color="auto"/>
      </w:divBdr>
      <w:divsChild>
        <w:div w:id="1894583516">
          <w:marLeft w:val="0"/>
          <w:marRight w:val="0"/>
          <w:marTop w:val="0"/>
          <w:marBottom w:val="0"/>
          <w:divBdr>
            <w:top w:val="none" w:sz="0" w:space="0" w:color="auto"/>
            <w:left w:val="none" w:sz="0" w:space="0" w:color="auto"/>
            <w:bottom w:val="none" w:sz="0" w:space="0" w:color="auto"/>
            <w:right w:val="none" w:sz="0" w:space="0" w:color="auto"/>
          </w:divBdr>
          <w:divsChild>
            <w:div w:id="1846902108">
              <w:marLeft w:val="0"/>
              <w:marRight w:val="0"/>
              <w:marTop w:val="0"/>
              <w:marBottom w:val="0"/>
              <w:divBdr>
                <w:top w:val="none" w:sz="0" w:space="0" w:color="auto"/>
                <w:left w:val="none" w:sz="0" w:space="0" w:color="auto"/>
                <w:bottom w:val="none" w:sz="0" w:space="0" w:color="auto"/>
                <w:right w:val="none" w:sz="0" w:space="0" w:color="auto"/>
              </w:divBdr>
              <w:divsChild>
                <w:div w:id="8918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3611">
      <w:bodyDiv w:val="1"/>
      <w:marLeft w:val="0"/>
      <w:marRight w:val="0"/>
      <w:marTop w:val="0"/>
      <w:marBottom w:val="0"/>
      <w:divBdr>
        <w:top w:val="none" w:sz="0" w:space="0" w:color="auto"/>
        <w:left w:val="none" w:sz="0" w:space="0" w:color="auto"/>
        <w:bottom w:val="none" w:sz="0" w:space="0" w:color="auto"/>
        <w:right w:val="none" w:sz="0" w:space="0" w:color="auto"/>
      </w:divBdr>
      <w:divsChild>
        <w:div w:id="48044123">
          <w:marLeft w:val="0"/>
          <w:marRight w:val="0"/>
          <w:marTop w:val="0"/>
          <w:marBottom w:val="0"/>
          <w:divBdr>
            <w:top w:val="none" w:sz="0" w:space="0" w:color="auto"/>
            <w:left w:val="none" w:sz="0" w:space="0" w:color="auto"/>
            <w:bottom w:val="none" w:sz="0" w:space="0" w:color="auto"/>
            <w:right w:val="none" w:sz="0" w:space="0" w:color="auto"/>
          </w:divBdr>
          <w:divsChild>
            <w:div w:id="1805927118">
              <w:marLeft w:val="0"/>
              <w:marRight w:val="0"/>
              <w:marTop w:val="0"/>
              <w:marBottom w:val="0"/>
              <w:divBdr>
                <w:top w:val="none" w:sz="0" w:space="0" w:color="auto"/>
                <w:left w:val="none" w:sz="0" w:space="0" w:color="auto"/>
                <w:bottom w:val="none" w:sz="0" w:space="0" w:color="auto"/>
                <w:right w:val="none" w:sz="0" w:space="0" w:color="auto"/>
              </w:divBdr>
              <w:divsChild>
                <w:div w:id="13488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8100">
      <w:bodyDiv w:val="1"/>
      <w:marLeft w:val="0"/>
      <w:marRight w:val="0"/>
      <w:marTop w:val="0"/>
      <w:marBottom w:val="0"/>
      <w:divBdr>
        <w:top w:val="none" w:sz="0" w:space="0" w:color="auto"/>
        <w:left w:val="none" w:sz="0" w:space="0" w:color="auto"/>
        <w:bottom w:val="none" w:sz="0" w:space="0" w:color="auto"/>
        <w:right w:val="none" w:sz="0" w:space="0" w:color="auto"/>
      </w:divBdr>
      <w:divsChild>
        <w:div w:id="958800695">
          <w:marLeft w:val="0"/>
          <w:marRight w:val="0"/>
          <w:marTop w:val="0"/>
          <w:marBottom w:val="0"/>
          <w:divBdr>
            <w:top w:val="none" w:sz="0" w:space="0" w:color="3D3D3D"/>
            <w:left w:val="none" w:sz="0" w:space="0" w:color="3D3D3D"/>
            <w:bottom w:val="none" w:sz="0" w:space="0" w:color="3D3D3D"/>
            <w:right w:val="none" w:sz="0" w:space="0" w:color="3D3D3D"/>
          </w:divBdr>
          <w:divsChild>
            <w:div w:id="998769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4817540">
      <w:bodyDiv w:val="1"/>
      <w:marLeft w:val="0"/>
      <w:marRight w:val="0"/>
      <w:marTop w:val="0"/>
      <w:marBottom w:val="0"/>
      <w:divBdr>
        <w:top w:val="none" w:sz="0" w:space="0" w:color="auto"/>
        <w:left w:val="none" w:sz="0" w:space="0" w:color="auto"/>
        <w:bottom w:val="none" w:sz="0" w:space="0" w:color="auto"/>
        <w:right w:val="none" w:sz="0" w:space="0" w:color="auto"/>
      </w:divBdr>
      <w:divsChild>
        <w:div w:id="854803207">
          <w:marLeft w:val="0"/>
          <w:marRight w:val="0"/>
          <w:marTop w:val="0"/>
          <w:marBottom w:val="0"/>
          <w:divBdr>
            <w:top w:val="none" w:sz="0" w:space="0" w:color="auto"/>
            <w:left w:val="none" w:sz="0" w:space="0" w:color="auto"/>
            <w:bottom w:val="none" w:sz="0" w:space="0" w:color="auto"/>
            <w:right w:val="none" w:sz="0" w:space="0" w:color="auto"/>
          </w:divBdr>
          <w:divsChild>
            <w:div w:id="1725712867">
              <w:marLeft w:val="0"/>
              <w:marRight w:val="0"/>
              <w:marTop w:val="0"/>
              <w:marBottom w:val="0"/>
              <w:divBdr>
                <w:top w:val="none" w:sz="0" w:space="0" w:color="auto"/>
                <w:left w:val="none" w:sz="0" w:space="0" w:color="auto"/>
                <w:bottom w:val="none" w:sz="0" w:space="0" w:color="auto"/>
                <w:right w:val="none" w:sz="0" w:space="0" w:color="auto"/>
              </w:divBdr>
              <w:divsChild>
                <w:div w:id="10647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59835">
      <w:bodyDiv w:val="1"/>
      <w:marLeft w:val="0"/>
      <w:marRight w:val="0"/>
      <w:marTop w:val="0"/>
      <w:marBottom w:val="0"/>
      <w:divBdr>
        <w:top w:val="none" w:sz="0" w:space="0" w:color="auto"/>
        <w:left w:val="none" w:sz="0" w:space="0" w:color="auto"/>
        <w:bottom w:val="none" w:sz="0" w:space="0" w:color="auto"/>
        <w:right w:val="none" w:sz="0" w:space="0" w:color="auto"/>
      </w:divBdr>
      <w:divsChild>
        <w:div w:id="234122611">
          <w:marLeft w:val="0"/>
          <w:marRight w:val="0"/>
          <w:marTop w:val="0"/>
          <w:marBottom w:val="0"/>
          <w:divBdr>
            <w:top w:val="none" w:sz="0" w:space="0" w:color="3D3D3D"/>
            <w:left w:val="none" w:sz="0" w:space="0" w:color="3D3D3D"/>
            <w:bottom w:val="none" w:sz="0" w:space="0" w:color="3D3D3D"/>
            <w:right w:val="none" w:sz="0" w:space="0" w:color="3D3D3D"/>
          </w:divBdr>
          <w:divsChild>
            <w:div w:id="18970136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1168364">
      <w:bodyDiv w:val="1"/>
      <w:marLeft w:val="0"/>
      <w:marRight w:val="0"/>
      <w:marTop w:val="0"/>
      <w:marBottom w:val="0"/>
      <w:divBdr>
        <w:top w:val="none" w:sz="0" w:space="0" w:color="auto"/>
        <w:left w:val="none" w:sz="0" w:space="0" w:color="auto"/>
        <w:bottom w:val="none" w:sz="0" w:space="0" w:color="auto"/>
        <w:right w:val="none" w:sz="0" w:space="0" w:color="auto"/>
      </w:divBdr>
      <w:divsChild>
        <w:div w:id="1423142653">
          <w:marLeft w:val="0"/>
          <w:marRight w:val="0"/>
          <w:marTop w:val="0"/>
          <w:marBottom w:val="0"/>
          <w:divBdr>
            <w:top w:val="none" w:sz="0" w:space="0" w:color="3D3D3D"/>
            <w:left w:val="none" w:sz="0" w:space="0" w:color="3D3D3D"/>
            <w:bottom w:val="none" w:sz="0" w:space="0" w:color="3D3D3D"/>
            <w:right w:val="none" w:sz="0" w:space="0" w:color="3D3D3D"/>
          </w:divBdr>
          <w:divsChild>
            <w:div w:id="9199427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BC9ED-1DA8-4E58-A2FD-D7AFCFAC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4</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284</cp:revision>
  <cp:lastPrinted>2023-08-16T20:34:00Z</cp:lastPrinted>
  <dcterms:created xsi:type="dcterms:W3CDTF">2023-08-16T22:27:00Z</dcterms:created>
  <dcterms:modified xsi:type="dcterms:W3CDTF">2023-11-21T20:31:00Z</dcterms:modified>
</cp:coreProperties>
</file>