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00E0A" w14:textId="217B00DB" w:rsidR="00D43692" w:rsidRPr="000D7330" w:rsidRDefault="00D43692" w:rsidP="000D7330">
      <w:pPr>
        <w:spacing w:after="0" w:line="240" w:lineRule="auto"/>
        <w:jc w:val="both"/>
        <w:rPr>
          <w:rFonts w:ascii="Times New Roman" w:eastAsia="Times New Roman" w:hAnsi="Times New Roman" w:cs="Times New Roman"/>
          <w:b/>
          <w:bCs/>
          <w:sz w:val="28"/>
          <w:szCs w:val="28"/>
        </w:rPr>
      </w:pPr>
      <w:bookmarkStart w:id="0" w:name="co_anchor_I2611FCE0256211DFA118E0F09A3F"/>
      <w:r w:rsidRPr="000D7330">
        <w:rPr>
          <w:rFonts w:ascii="Times New Roman" w:hAnsi="Times New Roman" w:cs="Times New Roman"/>
          <w:b/>
          <w:bCs/>
          <w:sz w:val="28"/>
          <w:szCs w:val="28"/>
        </w:rPr>
        <w:t xml:space="preserve">3.20 </w:t>
      </w:r>
      <w:bookmarkStart w:id="1" w:name="_Hlk170218197"/>
      <w:r w:rsidRPr="000D7330">
        <w:rPr>
          <w:rFonts w:ascii="Times New Roman" w:eastAsia="Times New Roman" w:hAnsi="Times New Roman" w:cs="Times New Roman"/>
          <w:b/>
          <w:bCs/>
          <w:sz w:val="28"/>
          <w:szCs w:val="28"/>
        </w:rPr>
        <w:t>Public Record</w:t>
      </w:r>
      <w:r w:rsidR="00475938" w:rsidRPr="000D7330">
        <w:rPr>
          <w:rFonts w:ascii="Times New Roman" w:eastAsia="Times New Roman" w:hAnsi="Times New Roman" w:cs="Times New Roman"/>
          <w:b/>
          <w:bCs/>
          <w:sz w:val="28"/>
          <w:szCs w:val="28"/>
        </w:rPr>
        <w:t xml:space="preserve"> or Document</w:t>
      </w:r>
      <w:r w:rsidR="001424B4" w:rsidRPr="000D7330">
        <w:rPr>
          <w:rFonts w:ascii="Times New Roman" w:eastAsia="Times New Roman" w:hAnsi="Times New Roman" w:cs="Times New Roman"/>
          <w:b/>
          <w:bCs/>
          <w:sz w:val="28"/>
          <w:szCs w:val="28"/>
        </w:rPr>
        <w:t xml:space="preserve"> [CPLR 4520 </w:t>
      </w:r>
      <w:r w:rsidR="00FB5688" w:rsidRPr="000D7330">
        <w:rPr>
          <w:rFonts w:ascii="Times New Roman" w:eastAsia="Times New Roman" w:hAnsi="Times New Roman" w:cs="Times New Roman"/>
          <w:b/>
          <w:bCs/>
          <w:sz w:val="28"/>
          <w:szCs w:val="28"/>
        </w:rPr>
        <w:t>&amp;</w:t>
      </w:r>
      <w:r w:rsidR="001424B4" w:rsidRPr="000D7330">
        <w:rPr>
          <w:rFonts w:ascii="Times New Roman" w:eastAsia="Times New Roman" w:hAnsi="Times New Roman" w:cs="Times New Roman"/>
          <w:b/>
          <w:bCs/>
          <w:sz w:val="28"/>
          <w:szCs w:val="28"/>
        </w:rPr>
        <w:t xml:space="preserve"> Common Law]</w:t>
      </w:r>
    </w:p>
    <w:p w14:paraId="029CD84A" w14:textId="77777777" w:rsidR="00FB72E2" w:rsidRPr="000D7330" w:rsidRDefault="00FB72E2" w:rsidP="000D7330">
      <w:pPr>
        <w:pStyle w:val="NoSpacing"/>
        <w:rPr>
          <w:b/>
          <w:bCs/>
          <w:sz w:val="28"/>
          <w:szCs w:val="28"/>
        </w:rPr>
      </w:pPr>
    </w:p>
    <w:p w14:paraId="55975565" w14:textId="15D40A53" w:rsidR="00D43692" w:rsidRPr="000D7330" w:rsidRDefault="00D43692" w:rsidP="000D7330">
      <w:pPr>
        <w:pStyle w:val="NoSpacing"/>
        <w:jc w:val="center"/>
        <w:rPr>
          <w:b/>
          <w:bCs/>
          <w:sz w:val="28"/>
          <w:szCs w:val="28"/>
        </w:rPr>
      </w:pPr>
      <w:r w:rsidRPr="000D7330">
        <w:rPr>
          <w:b/>
          <w:bCs/>
          <w:sz w:val="28"/>
          <w:szCs w:val="28"/>
        </w:rPr>
        <w:t>Part I</w:t>
      </w:r>
    </w:p>
    <w:p w14:paraId="29B3F3A3" w14:textId="1E4647C5" w:rsidR="00D43692" w:rsidRPr="000D7330" w:rsidRDefault="00D43692" w:rsidP="000D7330">
      <w:pPr>
        <w:pStyle w:val="NoSpacing"/>
        <w:jc w:val="center"/>
        <w:rPr>
          <w:b/>
          <w:bCs/>
          <w:sz w:val="28"/>
          <w:szCs w:val="28"/>
        </w:rPr>
      </w:pPr>
      <w:r w:rsidRPr="000D7330">
        <w:rPr>
          <w:b/>
          <w:bCs/>
          <w:sz w:val="28"/>
          <w:szCs w:val="28"/>
        </w:rPr>
        <w:t>CPLR 4520: Certificate or affidavit of public officer</w:t>
      </w:r>
    </w:p>
    <w:p w14:paraId="779675ED" w14:textId="77777777" w:rsidR="00D43692" w:rsidRPr="000D7330" w:rsidRDefault="00D43692" w:rsidP="000D7330">
      <w:pPr>
        <w:pStyle w:val="NoSpacing"/>
        <w:jc w:val="both"/>
        <w:rPr>
          <w:b/>
          <w:bCs/>
          <w:sz w:val="28"/>
          <w:szCs w:val="28"/>
        </w:rPr>
      </w:pPr>
    </w:p>
    <w:bookmarkEnd w:id="0"/>
    <w:bookmarkEnd w:id="1"/>
    <w:p w14:paraId="6236EA66" w14:textId="77777777" w:rsidR="00D43692" w:rsidRPr="000D7330" w:rsidRDefault="00D43692" w:rsidP="000D7330">
      <w:pPr>
        <w:pStyle w:val="ListParagraph"/>
        <w:spacing w:after="0" w:line="240" w:lineRule="auto"/>
        <w:ind w:right="720"/>
        <w:jc w:val="both"/>
        <w:rPr>
          <w:rFonts w:ascii="Times New Roman" w:hAnsi="Times New Roman" w:cs="Times New Roman"/>
          <w:b/>
          <w:bCs/>
          <w:sz w:val="28"/>
          <w:szCs w:val="28"/>
        </w:rPr>
      </w:pPr>
      <w:r w:rsidRPr="000D7330">
        <w:rPr>
          <w:rFonts w:ascii="Times New Roman" w:hAnsi="Times New Roman" w:cs="Times New Roman"/>
          <w:b/>
          <w:bCs/>
          <w:sz w:val="28"/>
          <w:szCs w:val="28"/>
        </w:rPr>
        <w:t xml:space="preserve">Where a public officer is </w:t>
      </w:r>
      <w:bookmarkStart w:id="2" w:name="_Hlk170320375"/>
      <w:r w:rsidRPr="000D7330">
        <w:rPr>
          <w:rFonts w:ascii="Times New Roman" w:hAnsi="Times New Roman" w:cs="Times New Roman"/>
          <w:b/>
          <w:bCs/>
          <w:sz w:val="28"/>
          <w:szCs w:val="28"/>
        </w:rPr>
        <w:t>required or authorized, by special provision of law, to make a certificate or an affidavit to a fact ascertained, or an act performed, by him in the course of his official duty</w:t>
      </w:r>
      <w:bookmarkEnd w:id="2"/>
      <w:r w:rsidRPr="000D7330">
        <w:rPr>
          <w:rFonts w:ascii="Times New Roman" w:hAnsi="Times New Roman" w:cs="Times New Roman"/>
          <w:b/>
          <w:bCs/>
          <w:sz w:val="28"/>
          <w:szCs w:val="28"/>
        </w:rPr>
        <w:t xml:space="preserve">, and to file or deposit it in a public office of the state, the certificate or affidavit so filed or deposited is </w:t>
      </w:r>
      <w:bookmarkStart w:id="3" w:name="_Hlk171515270"/>
      <w:r w:rsidRPr="000D7330">
        <w:rPr>
          <w:rFonts w:ascii="Times New Roman" w:hAnsi="Times New Roman" w:cs="Times New Roman"/>
          <w:b/>
          <w:bCs/>
          <w:sz w:val="28"/>
          <w:szCs w:val="28"/>
        </w:rPr>
        <w:t>prima facie evidence of the facts stated.</w:t>
      </w:r>
    </w:p>
    <w:bookmarkEnd w:id="3"/>
    <w:p w14:paraId="6FCB3B12" w14:textId="77777777" w:rsidR="00D43692" w:rsidRPr="000D7330" w:rsidRDefault="00D43692" w:rsidP="000D7330">
      <w:pPr>
        <w:spacing w:after="0" w:line="240" w:lineRule="auto"/>
        <w:ind w:right="432"/>
        <w:jc w:val="both"/>
        <w:rPr>
          <w:rFonts w:ascii="Times New Roman" w:hAnsi="Times New Roman" w:cs="Times New Roman"/>
          <w:b/>
          <w:bCs/>
          <w:sz w:val="28"/>
          <w:szCs w:val="28"/>
        </w:rPr>
      </w:pPr>
    </w:p>
    <w:p w14:paraId="7CB7947F" w14:textId="77777777" w:rsidR="00EB17D5" w:rsidRPr="000D7330" w:rsidRDefault="00D43692" w:rsidP="000D7330">
      <w:pPr>
        <w:pStyle w:val="ListParagraph"/>
        <w:spacing w:after="0" w:line="240" w:lineRule="auto"/>
        <w:ind w:right="432"/>
        <w:jc w:val="center"/>
        <w:rPr>
          <w:rFonts w:ascii="Times New Roman" w:hAnsi="Times New Roman" w:cs="Times New Roman"/>
          <w:b/>
          <w:bCs/>
          <w:sz w:val="28"/>
          <w:szCs w:val="28"/>
        </w:rPr>
      </w:pPr>
      <w:r w:rsidRPr="000D7330">
        <w:rPr>
          <w:rFonts w:ascii="Times New Roman" w:hAnsi="Times New Roman" w:cs="Times New Roman"/>
          <w:b/>
          <w:bCs/>
          <w:sz w:val="28"/>
          <w:szCs w:val="28"/>
        </w:rPr>
        <w:t xml:space="preserve">Part II </w:t>
      </w:r>
    </w:p>
    <w:p w14:paraId="010145BA" w14:textId="29C8D2A2" w:rsidR="00D43692" w:rsidRPr="000D7330" w:rsidRDefault="00D43692" w:rsidP="000D7330">
      <w:pPr>
        <w:pStyle w:val="ListParagraph"/>
        <w:spacing w:after="0" w:line="240" w:lineRule="auto"/>
        <w:ind w:right="432"/>
        <w:jc w:val="center"/>
        <w:rPr>
          <w:rFonts w:ascii="Times New Roman" w:hAnsi="Times New Roman" w:cs="Times New Roman"/>
          <w:b/>
          <w:bCs/>
          <w:sz w:val="28"/>
          <w:szCs w:val="28"/>
        </w:rPr>
      </w:pPr>
      <w:r w:rsidRPr="000D7330">
        <w:rPr>
          <w:rFonts w:ascii="Times New Roman" w:hAnsi="Times New Roman" w:cs="Times New Roman"/>
          <w:b/>
          <w:bCs/>
          <w:sz w:val="28"/>
          <w:szCs w:val="28"/>
        </w:rPr>
        <w:t>Common Law</w:t>
      </w:r>
    </w:p>
    <w:p w14:paraId="28DC8F11" w14:textId="77777777" w:rsidR="00D43692" w:rsidRPr="000D7330" w:rsidRDefault="00D43692" w:rsidP="000D7330">
      <w:pPr>
        <w:spacing w:after="0" w:line="240" w:lineRule="auto"/>
        <w:ind w:right="432"/>
        <w:jc w:val="both"/>
        <w:rPr>
          <w:rFonts w:ascii="Times New Roman" w:hAnsi="Times New Roman" w:cs="Times New Roman"/>
          <w:b/>
          <w:bCs/>
          <w:sz w:val="28"/>
          <w:szCs w:val="28"/>
        </w:rPr>
      </w:pPr>
    </w:p>
    <w:p w14:paraId="6AA909B8" w14:textId="38E4EB88" w:rsidR="001830DF" w:rsidRPr="000D7330" w:rsidRDefault="00D43692" w:rsidP="000D7330">
      <w:pPr>
        <w:pStyle w:val="ListParagraph"/>
        <w:spacing w:after="0" w:line="240" w:lineRule="auto"/>
        <w:ind w:right="720"/>
        <w:jc w:val="both"/>
        <w:rPr>
          <w:rFonts w:ascii="Times New Roman" w:hAnsi="Times New Roman" w:cs="Times New Roman"/>
          <w:b/>
          <w:bCs/>
          <w:sz w:val="28"/>
          <w:szCs w:val="28"/>
        </w:rPr>
      </w:pPr>
      <w:r w:rsidRPr="000D7330">
        <w:rPr>
          <w:rFonts w:ascii="Times New Roman" w:hAnsi="Times New Roman" w:cs="Times New Roman"/>
          <w:b/>
          <w:bCs/>
          <w:sz w:val="28"/>
          <w:szCs w:val="28"/>
        </w:rPr>
        <w:t>When a public officer is required or authorized statutorily or by the nature of his or her official duties to keep records of transactions occurring in the course of such duties, the records made either by the public official with personal knowledge of the matter recorded or by a subordinate with the requisite personal knowledge who acts under the supervision of the public officer</w:t>
      </w:r>
      <w:r w:rsidR="005F302B" w:rsidRPr="000D7330">
        <w:rPr>
          <w:rFonts w:ascii="Times New Roman" w:hAnsi="Times New Roman" w:cs="Times New Roman"/>
          <w:b/>
          <w:bCs/>
          <w:sz w:val="28"/>
          <w:szCs w:val="28"/>
        </w:rPr>
        <w:t xml:space="preserve"> </w:t>
      </w:r>
      <w:r w:rsidR="00AE4A9E" w:rsidRPr="000D7330">
        <w:rPr>
          <w:rFonts w:ascii="Times New Roman" w:hAnsi="Times New Roman" w:cs="Times New Roman"/>
          <w:b/>
          <w:bCs/>
          <w:sz w:val="28"/>
          <w:szCs w:val="28"/>
        </w:rPr>
        <w:t>are admissible in evidence.</w:t>
      </w:r>
    </w:p>
    <w:p w14:paraId="100AEA0A" w14:textId="77777777" w:rsidR="00B53F74" w:rsidRPr="006E2046" w:rsidRDefault="00B53F74" w:rsidP="000D7330">
      <w:pPr>
        <w:spacing w:after="0" w:line="276" w:lineRule="auto"/>
        <w:rPr>
          <w:rFonts w:ascii="Times New Roman" w:hAnsi="Times New Roman" w:cs="Times New Roman"/>
          <w:b/>
          <w:sz w:val="24"/>
          <w:szCs w:val="24"/>
        </w:rPr>
      </w:pPr>
    </w:p>
    <w:p w14:paraId="3965097A" w14:textId="49BA6D96" w:rsidR="00090219" w:rsidRPr="006E2046" w:rsidRDefault="00090219" w:rsidP="000D7330">
      <w:pPr>
        <w:spacing w:after="0" w:line="276" w:lineRule="auto"/>
        <w:jc w:val="center"/>
        <w:rPr>
          <w:rFonts w:ascii="Times New Roman" w:hAnsi="Times New Roman" w:cs="Times New Roman"/>
          <w:b/>
          <w:sz w:val="24"/>
          <w:szCs w:val="24"/>
        </w:rPr>
      </w:pPr>
      <w:r w:rsidRPr="006E2046">
        <w:rPr>
          <w:rFonts w:ascii="Times New Roman" w:hAnsi="Times New Roman" w:cs="Times New Roman"/>
          <w:b/>
          <w:sz w:val="24"/>
          <w:szCs w:val="24"/>
        </w:rPr>
        <w:t>Note</w:t>
      </w:r>
    </w:p>
    <w:p w14:paraId="44AE82A3" w14:textId="77777777" w:rsidR="00E64D08" w:rsidRPr="006E2046" w:rsidRDefault="00E64D08" w:rsidP="000D7330">
      <w:pPr>
        <w:spacing w:after="0" w:line="276" w:lineRule="auto"/>
        <w:rPr>
          <w:rFonts w:ascii="Times New Roman" w:hAnsi="Times New Roman" w:cs="Times New Roman"/>
          <w:b/>
          <w:sz w:val="24"/>
          <w:szCs w:val="24"/>
        </w:rPr>
      </w:pPr>
    </w:p>
    <w:p w14:paraId="4F9D46FE" w14:textId="6B926F42" w:rsidR="006D1BCE" w:rsidRPr="006E2046" w:rsidRDefault="004A733D" w:rsidP="000D7330">
      <w:pPr>
        <w:spacing w:after="0" w:line="276" w:lineRule="auto"/>
        <w:jc w:val="center"/>
        <w:rPr>
          <w:rFonts w:ascii="Times New Roman" w:hAnsi="Times New Roman" w:cs="Times New Roman"/>
          <w:b/>
          <w:sz w:val="24"/>
          <w:szCs w:val="24"/>
        </w:rPr>
      </w:pPr>
      <w:r w:rsidRPr="006E2046">
        <w:rPr>
          <w:rFonts w:ascii="Times New Roman" w:hAnsi="Times New Roman" w:cs="Times New Roman"/>
          <w:b/>
          <w:sz w:val="24"/>
          <w:szCs w:val="24"/>
        </w:rPr>
        <w:t>Introduction</w:t>
      </w:r>
    </w:p>
    <w:p w14:paraId="35FE22D0" w14:textId="77777777" w:rsidR="00E64D08" w:rsidRPr="006E2046" w:rsidRDefault="00E64D08" w:rsidP="000D7330">
      <w:pPr>
        <w:spacing w:after="0" w:line="276" w:lineRule="auto"/>
        <w:rPr>
          <w:rFonts w:ascii="Times New Roman" w:hAnsi="Times New Roman" w:cs="Times New Roman"/>
          <w:b/>
          <w:sz w:val="24"/>
          <w:szCs w:val="24"/>
        </w:rPr>
      </w:pPr>
    </w:p>
    <w:p w14:paraId="6A85DF67" w14:textId="58C8DC0D" w:rsidR="00D742D6" w:rsidRPr="006E2046" w:rsidRDefault="00D742D6" w:rsidP="000D7330">
      <w:pPr>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t>This rule states a statutory and common</w:t>
      </w:r>
      <w:r w:rsidR="00B32824" w:rsidRPr="006E2046">
        <w:rPr>
          <w:rFonts w:ascii="Times New Roman" w:hAnsi="Times New Roman" w:cs="Times New Roman"/>
          <w:sz w:val="24"/>
          <w:szCs w:val="24"/>
        </w:rPr>
        <w:t>-</w:t>
      </w:r>
      <w:r w:rsidR="004A733D" w:rsidRPr="006E2046">
        <w:rPr>
          <w:rFonts w:ascii="Times New Roman" w:hAnsi="Times New Roman" w:cs="Times New Roman"/>
          <w:sz w:val="24"/>
          <w:szCs w:val="24"/>
        </w:rPr>
        <w:t>law</w:t>
      </w:r>
      <w:r w:rsidRPr="006E2046">
        <w:rPr>
          <w:rFonts w:ascii="Times New Roman" w:hAnsi="Times New Roman" w:cs="Times New Roman"/>
          <w:sz w:val="24"/>
          <w:szCs w:val="24"/>
        </w:rPr>
        <w:t xml:space="preserve"> exception to the hearsay rule for certain types of public records and documents</w:t>
      </w:r>
      <w:r w:rsidR="00046D78" w:rsidRPr="006E2046">
        <w:rPr>
          <w:rFonts w:ascii="Times New Roman" w:hAnsi="Times New Roman" w:cs="Times New Roman"/>
          <w:sz w:val="24"/>
          <w:szCs w:val="24"/>
        </w:rPr>
        <w:t xml:space="preserve">. </w:t>
      </w:r>
      <w:r w:rsidR="00B27C96" w:rsidRPr="006E2046">
        <w:rPr>
          <w:rFonts w:ascii="Times New Roman" w:hAnsi="Times New Roman" w:cs="Times New Roman"/>
          <w:sz w:val="24"/>
          <w:szCs w:val="24"/>
        </w:rPr>
        <w:t>There are</w:t>
      </w:r>
      <w:r w:rsidR="00744EBB" w:rsidRPr="006E2046">
        <w:rPr>
          <w:rFonts w:ascii="Times New Roman" w:hAnsi="Times New Roman" w:cs="Times New Roman"/>
          <w:sz w:val="24"/>
          <w:szCs w:val="24"/>
        </w:rPr>
        <w:t xml:space="preserve"> other statutory exceptions </w:t>
      </w:r>
      <w:r w:rsidR="006E20E1" w:rsidRPr="006E2046">
        <w:rPr>
          <w:rFonts w:ascii="Times New Roman" w:hAnsi="Times New Roman" w:cs="Times New Roman"/>
          <w:sz w:val="24"/>
          <w:szCs w:val="24"/>
        </w:rPr>
        <w:t xml:space="preserve">to the hearsay rule </w:t>
      </w:r>
      <w:r w:rsidR="00744EBB" w:rsidRPr="006E2046">
        <w:rPr>
          <w:rFonts w:ascii="Times New Roman" w:hAnsi="Times New Roman" w:cs="Times New Roman"/>
          <w:sz w:val="24"/>
          <w:szCs w:val="24"/>
        </w:rPr>
        <w:t>for public records and documents</w:t>
      </w:r>
      <w:r w:rsidR="00714813" w:rsidRPr="006E2046">
        <w:rPr>
          <w:rFonts w:ascii="Times New Roman" w:hAnsi="Times New Roman" w:cs="Times New Roman"/>
          <w:sz w:val="24"/>
          <w:szCs w:val="24"/>
        </w:rPr>
        <w:t xml:space="preserve"> </w:t>
      </w:r>
      <w:r w:rsidR="00744EBB" w:rsidRPr="006E2046">
        <w:rPr>
          <w:rFonts w:ascii="Times New Roman" w:hAnsi="Times New Roman" w:cs="Times New Roman"/>
          <w:sz w:val="24"/>
          <w:szCs w:val="24"/>
        </w:rPr>
        <w:t>that provide exceptions for specific types of public records and documents</w:t>
      </w:r>
      <w:r w:rsidR="00476E8D" w:rsidRPr="006E2046">
        <w:rPr>
          <w:rFonts w:ascii="Times New Roman" w:hAnsi="Times New Roman" w:cs="Times New Roman"/>
          <w:sz w:val="24"/>
          <w:szCs w:val="24"/>
        </w:rPr>
        <w:t>.</w:t>
      </w:r>
      <w:r w:rsidR="00744EBB" w:rsidRPr="006E2046">
        <w:rPr>
          <w:rFonts w:ascii="Times New Roman" w:hAnsi="Times New Roman" w:cs="Times New Roman"/>
          <w:sz w:val="24"/>
          <w:szCs w:val="24"/>
        </w:rPr>
        <w:t xml:space="preserve"> (G</w:t>
      </w:r>
      <w:r w:rsidR="001E7D96" w:rsidRPr="006E2046">
        <w:rPr>
          <w:rFonts w:ascii="Times New Roman" w:hAnsi="Times New Roman" w:cs="Times New Roman"/>
          <w:sz w:val="24"/>
          <w:szCs w:val="24"/>
        </w:rPr>
        <w:t>uide to NY Evid [G</w:t>
      </w:r>
      <w:r w:rsidR="00744EBB" w:rsidRPr="006E2046">
        <w:rPr>
          <w:rFonts w:ascii="Times New Roman" w:hAnsi="Times New Roman" w:cs="Times New Roman"/>
          <w:sz w:val="24"/>
          <w:szCs w:val="24"/>
        </w:rPr>
        <w:t>NYE</w:t>
      </w:r>
      <w:r w:rsidR="000D3DF9" w:rsidRPr="006E2046">
        <w:rPr>
          <w:rFonts w:ascii="Times New Roman" w:hAnsi="Times New Roman" w:cs="Times New Roman"/>
          <w:sz w:val="24"/>
          <w:szCs w:val="24"/>
        </w:rPr>
        <w:t>] rules</w:t>
      </w:r>
      <w:r w:rsidR="00744EBB" w:rsidRPr="006E2046">
        <w:rPr>
          <w:rFonts w:ascii="Times New Roman" w:hAnsi="Times New Roman" w:cs="Times New Roman"/>
          <w:sz w:val="24"/>
          <w:szCs w:val="24"/>
        </w:rPr>
        <w:t xml:space="preserve"> 3.21</w:t>
      </w:r>
      <w:r w:rsidR="00AF10EF" w:rsidRPr="006E2046">
        <w:rPr>
          <w:rStyle w:val="cf01"/>
          <w:rFonts w:ascii="Times New Roman" w:hAnsi="Times New Roman" w:cs="Times New Roman"/>
          <w:sz w:val="24"/>
          <w:szCs w:val="24"/>
        </w:rPr>
        <w:t>–</w:t>
      </w:r>
      <w:r w:rsidR="00744EBB" w:rsidRPr="006E2046">
        <w:rPr>
          <w:rFonts w:ascii="Times New Roman" w:hAnsi="Times New Roman" w:cs="Times New Roman"/>
          <w:sz w:val="24"/>
          <w:szCs w:val="24"/>
        </w:rPr>
        <w:t>3.33-a</w:t>
      </w:r>
      <w:r w:rsidR="00B66C49" w:rsidRPr="006E2046">
        <w:rPr>
          <w:rFonts w:ascii="Times New Roman" w:hAnsi="Times New Roman" w:cs="Times New Roman"/>
          <w:sz w:val="24"/>
          <w:szCs w:val="24"/>
        </w:rPr>
        <w:t>,</w:t>
      </w:r>
      <w:r w:rsidR="00744EBB" w:rsidRPr="006E2046">
        <w:rPr>
          <w:rFonts w:ascii="Times New Roman" w:hAnsi="Times New Roman" w:cs="Times New Roman"/>
          <w:sz w:val="24"/>
          <w:szCs w:val="24"/>
        </w:rPr>
        <w:t xml:space="preserve"> 3.34</w:t>
      </w:r>
      <w:r w:rsidR="00B66C49" w:rsidRPr="006E2046">
        <w:rPr>
          <w:rFonts w:ascii="Times New Roman" w:hAnsi="Times New Roman" w:cs="Times New Roman"/>
          <w:sz w:val="24"/>
          <w:szCs w:val="24"/>
        </w:rPr>
        <w:t>,</w:t>
      </w:r>
      <w:r w:rsidR="00744EBB" w:rsidRPr="006E2046">
        <w:rPr>
          <w:rFonts w:ascii="Times New Roman" w:hAnsi="Times New Roman" w:cs="Times New Roman"/>
          <w:sz w:val="24"/>
          <w:szCs w:val="24"/>
        </w:rPr>
        <w:t xml:space="preserve"> 3.41</w:t>
      </w:r>
      <w:r w:rsidR="00B66C49" w:rsidRPr="006E2046">
        <w:rPr>
          <w:rFonts w:ascii="Times New Roman" w:hAnsi="Times New Roman" w:cs="Times New Roman"/>
          <w:sz w:val="24"/>
          <w:szCs w:val="24"/>
        </w:rPr>
        <w:t>,</w:t>
      </w:r>
      <w:r w:rsidR="002009D5" w:rsidRPr="006E2046">
        <w:rPr>
          <w:rFonts w:ascii="Times New Roman" w:hAnsi="Times New Roman" w:cs="Times New Roman"/>
          <w:sz w:val="24"/>
          <w:szCs w:val="24"/>
        </w:rPr>
        <w:t xml:space="preserve"> </w:t>
      </w:r>
      <w:r w:rsidR="00744EBB" w:rsidRPr="006E2046">
        <w:rPr>
          <w:rFonts w:ascii="Times New Roman" w:hAnsi="Times New Roman" w:cs="Times New Roman"/>
          <w:sz w:val="24"/>
          <w:szCs w:val="24"/>
        </w:rPr>
        <w:t>3.</w:t>
      </w:r>
      <w:r w:rsidR="006E20E1" w:rsidRPr="006E2046">
        <w:rPr>
          <w:rFonts w:ascii="Times New Roman" w:hAnsi="Times New Roman" w:cs="Times New Roman"/>
          <w:sz w:val="24"/>
          <w:szCs w:val="24"/>
        </w:rPr>
        <w:t>6</w:t>
      </w:r>
      <w:r w:rsidR="00744EBB" w:rsidRPr="006E2046">
        <w:rPr>
          <w:rFonts w:ascii="Times New Roman" w:hAnsi="Times New Roman" w:cs="Times New Roman"/>
          <w:sz w:val="24"/>
          <w:szCs w:val="24"/>
        </w:rPr>
        <w:t>0</w:t>
      </w:r>
      <w:r w:rsidR="00B32824" w:rsidRPr="006E2046">
        <w:rPr>
          <w:rFonts w:ascii="Times New Roman" w:hAnsi="Times New Roman" w:cs="Times New Roman"/>
          <w:sz w:val="24"/>
          <w:szCs w:val="24"/>
        </w:rPr>
        <w:t>.</w:t>
      </w:r>
      <w:r w:rsidR="00744EBB" w:rsidRPr="006E2046">
        <w:rPr>
          <w:rFonts w:ascii="Times New Roman" w:hAnsi="Times New Roman" w:cs="Times New Roman"/>
          <w:sz w:val="24"/>
          <w:szCs w:val="24"/>
        </w:rPr>
        <w:t>)</w:t>
      </w:r>
      <w:r w:rsidR="00F914E3" w:rsidRPr="006E2046">
        <w:rPr>
          <w:rFonts w:ascii="Times New Roman" w:hAnsi="Times New Roman" w:cs="Times New Roman"/>
          <w:sz w:val="24"/>
          <w:szCs w:val="24"/>
        </w:rPr>
        <w:t xml:space="preserve"> </w:t>
      </w:r>
      <w:r w:rsidR="00233401" w:rsidRPr="006E2046">
        <w:rPr>
          <w:rFonts w:ascii="Times New Roman" w:hAnsi="Times New Roman" w:cs="Times New Roman"/>
          <w:sz w:val="24"/>
          <w:szCs w:val="24"/>
        </w:rPr>
        <w:t>The</w:t>
      </w:r>
      <w:r w:rsidR="008C3912" w:rsidRPr="006E2046">
        <w:rPr>
          <w:rFonts w:ascii="Times New Roman" w:hAnsi="Times New Roman" w:cs="Times New Roman"/>
          <w:sz w:val="24"/>
          <w:szCs w:val="24"/>
        </w:rPr>
        <w:t>se</w:t>
      </w:r>
      <w:r w:rsidR="00233401" w:rsidRPr="006E2046">
        <w:rPr>
          <w:rFonts w:ascii="Times New Roman" w:hAnsi="Times New Roman" w:cs="Times New Roman"/>
          <w:sz w:val="24"/>
          <w:szCs w:val="24"/>
        </w:rPr>
        <w:t xml:space="preserve"> statutory </w:t>
      </w:r>
      <w:r w:rsidR="00706BC5" w:rsidRPr="006E2046">
        <w:rPr>
          <w:rFonts w:ascii="Times New Roman" w:hAnsi="Times New Roman" w:cs="Times New Roman"/>
          <w:sz w:val="24"/>
          <w:szCs w:val="24"/>
        </w:rPr>
        <w:t xml:space="preserve">exceptions to the hearsay rule </w:t>
      </w:r>
      <w:r w:rsidR="002522A0" w:rsidRPr="006E2046">
        <w:rPr>
          <w:rFonts w:ascii="Times New Roman" w:hAnsi="Times New Roman" w:cs="Times New Roman"/>
          <w:sz w:val="24"/>
          <w:szCs w:val="24"/>
        </w:rPr>
        <w:t>also provide that the particular public record or document constitutes prima facie evidence</w:t>
      </w:r>
      <w:r w:rsidR="00D96079" w:rsidRPr="006E2046">
        <w:rPr>
          <w:rFonts w:ascii="Times New Roman" w:hAnsi="Times New Roman" w:cs="Times New Roman"/>
          <w:sz w:val="24"/>
          <w:szCs w:val="24"/>
        </w:rPr>
        <w:t xml:space="preserve"> or presumptive evidence</w:t>
      </w:r>
      <w:r w:rsidR="002522A0" w:rsidRPr="006E2046">
        <w:rPr>
          <w:rFonts w:ascii="Times New Roman" w:hAnsi="Times New Roman" w:cs="Times New Roman"/>
          <w:sz w:val="24"/>
          <w:szCs w:val="24"/>
        </w:rPr>
        <w:t xml:space="preserve"> of the facts stated.</w:t>
      </w:r>
    </w:p>
    <w:p w14:paraId="05D17B1D" w14:textId="77777777" w:rsidR="00E64D08" w:rsidRPr="006E2046" w:rsidRDefault="00E64D08" w:rsidP="000D7330">
      <w:pPr>
        <w:spacing w:after="0" w:line="276" w:lineRule="auto"/>
        <w:jc w:val="both"/>
        <w:rPr>
          <w:rFonts w:ascii="Times New Roman" w:hAnsi="Times New Roman" w:cs="Times New Roman"/>
          <w:sz w:val="24"/>
          <w:szCs w:val="24"/>
        </w:rPr>
      </w:pPr>
    </w:p>
    <w:p w14:paraId="36A794EF" w14:textId="134E70EE" w:rsidR="003967F9" w:rsidRPr="006E2046" w:rsidRDefault="00F738C2" w:rsidP="000D7330">
      <w:pPr>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t xml:space="preserve">A public record or document may also be admitted in evidence </w:t>
      </w:r>
      <w:r w:rsidR="009123FC" w:rsidRPr="006E2046">
        <w:rPr>
          <w:rFonts w:ascii="Times New Roman" w:hAnsi="Times New Roman" w:cs="Times New Roman"/>
          <w:sz w:val="24"/>
          <w:szCs w:val="24"/>
        </w:rPr>
        <w:t>p</w:t>
      </w:r>
      <w:r w:rsidR="008643BA" w:rsidRPr="006E2046">
        <w:rPr>
          <w:rFonts w:ascii="Times New Roman" w:hAnsi="Times New Roman" w:cs="Times New Roman"/>
          <w:sz w:val="24"/>
          <w:szCs w:val="24"/>
        </w:rPr>
        <w:t>ursuant to</w:t>
      </w:r>
      <w:r w:rsidR="009123FC" w:rsidRPr="006E2046">
        <w:rPr>
          <w:rFonts w:ascii="Times New Roman" w:hAnsi="Times New Roman" w:cs="Times New Roman"/>
          <w:sz w:val="24"/>
          <w:szCs w:val="24"/>
        </w:rPr>
        <w:t xml:space="preserve"> the</w:t>
      </w:r>
      <w:r w:rsidRPr="006E2046">
        <w:rPr>
          <w:rFonts w:ascii="Times New Roman" w:hAnsi="Times New Roman" w:cs="Times New Roman"/>
          <w:sz w:val="24"/>
          <w:szCs w:val="24"/>
        </w:rPr>
        <w:t xml:space="preserve"> Business Record exception to the hearsay rule. </w:t>
      </w:r>
      <w:r w:rsidR="000F519C" w:rsidRPr="006E2046">
        <w:rPr>
          <w:rFonts w:ascii="Times New Roman" w:hAnsi="Times New Roman" w:cs="Times New Roman"/>
          <w:sz w:val="24"/>
          <w:szCs w:val="24"/>
        </w:rPr>
        <w:t>(</w:t>
      </w:r>
      <w:r w:rsidR="00AB43DE" w:rsidRPr="006E2046">
        <w:rPr>
          <w:rFonts w:ascii="Times New Roman" w:hAnsi="Times New Roman" w:cs="Times New Roman"/>
          <w:i/>
          <w:iCs/>
          <w:sz w:val="24"/>
          <w:szCs w:val="24"/>
        </w:rPr>
        <w:t>See</w:t>
      </w:r>
      <w:r w:rsidR="00AB43DE" w:rsidRPr="006E2046">
        <w:rPr>
          <w:rFonts w:ascii="Times New Roman" w:hAnsi="Times New Roman" w:cs="Times New Roman"/>
          <w:sz w:val="24"/>
          <w:szCs w:val="24"/>
        </w:rPr>
        <w:t xml:space="preserve"> </w:t>
      </w:r>
      <w:r w:rsidR="009123FC" w:rsidRPr="006E2046">
        <w:rPr>
          <w:rFonts w:ascii="Times New Roman" w:hAnsi="Times New Roman" w:cs="Times New Roman"/>
          <w:sz w:val="24"/>
          <w:szCs w:val="24"/>
        </w:rPr>
        <w:t xml:space="preserve">GNYE </w:t>
      </w:r>
      <w:r w:rsidR="002132BC" w:rsidRPr="006E2046">
        <w:rPr>
          <w:rFonts w:ascii="Times New Roman" w:hAnsi="Times New Roman" w:cs="Times New Roman"/>
          <w:sz w:val="24"/>
          <w:szCs w:val="24"/>
        </w:rPr>
        <w:t xml:space="preserve">rule </w:t>
      </w:r>
      <w:r w:rsidR="009123FC" w:rsidRPr="006E2046">
        <w:rPr>
          <w:rFonts w:ascii="Times New Roman" w:hAnsi="Times New Roman" w:cs="Times New Roman"/>
          <w:sz w:val="24"/>
          <w:szCs w:val="24"/>
        </w:rPr>
        <w:t>8.08</w:t>
      </w:r>
      <w:r w:rsidR="00AC4380" w:rsidRPr="006E2046">
        <w:rPr>
          <w:rFonts w:ascii="Times New Roman" w:hAnsi="Times New Roman" w:cs="Times New Roman"/>
          <w:sz w:val="24"/>
          <w:szCs w:val="24"/>
        </w:rPr>
        <w:t>, Business Record</w:t>
      </w:r>
      <w:r w:rsidR="00F914E3" w:rsidRPr="006E2046">
        <w:rPr>
          <w:rFonts w:ascii="Times New Roman" w:hAnsi="Times New Roman" w:cs="Times New Roman"/>
          <w:sz w:val="24"/>
          <w:szCs w:val="24"/>
        </w:rPr>
        <w:t>.</w:t>
      </w:r>
      <w:r w:rsidR="000F519C" w:rsidRPr="006E2046">
        <w:rPr>
          <w:rFonts w:ascii="Times New Roman" w:hAnsi="Times New Roman" w:cs="Times New Roman"/>
          <w:sz w:val="24"/>
          <w:szCs w:val="24"/>
        </w:rPr>
        <w:t>)</w:t>
      </w:r>
      <w:r w:rsidR="00F914E3" w:rsidRPr="006E2046">
        <w:rPr>
          <w:rFonts w:ascii="Times New Roman" w:hAnsi="Times New Roman" w:cs="Times New Roman"/>
          <w:sz w:val="24"/>
          <w:szCs w:val="24"/>
        </w:rPr>
        <w:t xml:space="preserve"> </w:t>
      </w:r>
      <w:r w:rsidR="00AC4380" w:rsidRPr="006E2046">
        <w:rPr>
          <w:rFonts w:ascii="Times New Roman" w:hAnsi="Times New Roman" w:cs="Times New Roman"/>
          <w:sz w:val="24"/>
          <w:szCs w:val="24"/>
        </w:rPr>
        <w:t>A</w:t>
      </w:r>
      <w:r w:rsidR="00C90977" w:rsidRPr="006E2046">
        <w:rPr>
          <w:rFonts w:ascii="Times New Roman" w:hAnsi="Times New Roman" w:cs="Times New Roman"/>
          <w:sz w:val="24"/>
          <w:szCs w:val="24"/>
        </w:rPr>
        <w:t xml:space="preserve"> </w:t>
      </w:r>
      <w:r w:rsidR="00357199" w:rsidRPr="006E2046">
        <w:rPr>
          <w:rFonts w:ascii="Times New Roman" w:hAnsi="Times New Roman" w:cs="Times New Roman"/>
          <w:sz w:val="24"/>
          <w:szCs w:val="24"/>
        </w:rPr>
        <w:t xml:space="preserve">business </w:t>
      </w:r>
      <w:r w:rsidR="00AC4380" w:rsidRPr="006E2046">
        <w:rPr>
          <w:rFonts w:ascii="Times New Roman" w:hAnsi="Times New Roman" w:cs="Times New Roman"/>
          <w:sz w:val="24"/>
          <w:szCs w:val="24"/>
        </w:rPr>
        <w:t>record</w:t>
      </w:r>
      <w:r w:rsidR="00357199" w:rsidRPr="006E2046">
        <w:rPr>
          <w:rFonts w:ascii="Times New Roman" w:hAnsi="Times New Roman" w:cs="Times New Roman"/>
          <w:sz w:val="24"/>
          <w:szCs w:val="24"/>
        </w:rPr>
        <w:t xml:space="preserve"> or document</w:t>
      </w:r>
      <w:r w:rsidR="00AC4380" w:rsidRPr="006E2046">
        <w:rPr>
          <w:rFonts w:ascii="Times New Roman" w:hAnsi="Times New Roman" w:cs="Times New Roman"/>
          <w:sz w:val="24"/>
          <w:szCs w:val="24"/>
        </w:rPr>
        <w:t xml:space="preserve"> referred to in CPLR 2306 </w:t>
      </w:r>
      <w:r w:rsidR="00795857" w:rsidRPr="006E2046">
        <w:rPr>
          <w:rFonts w:ascii="Times New Roman" w:hAnsi="Times New Roman" w:cs="Times New Roman"/>
          <w:sz w:val="24"/>
          <w:szCs w:val="24"/>
        </w:rPr>
        <w:t>(</w:t>
      </w:r>
      <w:r w:rsidR="00AC4380" w:rsidRPr="006E2046">
        <w:rPr>
          <w:rFonts w:ascii="Times New Roman" w:hAnsi="Times New Roman" w:cs="Times New Roman"/>
          <w:i/>
          <w:iCs/>
          <w:sz w:val="24"/>
          <w:szCs w:val="24"/>
        </w:rPr>
        <w:t xml:space="preserve">Hospital </w:t>
      </w:r>
      <w:r w:rsidR="00AC4380" w:rsidRPr="006E2046">
        <w:rPr>
          <w:rFonts w:ascii="Times New Roman" w:hAnsi="Times New Roman" w:cs="Times New Roman"/>
          <w:i/>
          <w:iCs/>
          <w:sz w:val="24"/>
          <w:szCs w:val="24"/>
        </w:rPr>
        <w:lastRenderedPageBreak/>
        <w:t>records; medical records of department or bureau of a municipal corporation or of the state</w:t>
      </w:r>
      <w:r w:rsidR="00795857" w:rsidRPr="006E2046">
        <w:rPr>
          <w:rFonts w:ascii="Times New Roman" w:hAnsi="Times New Roman" w:cs="Times New Roman"/>
          <w:sz w:val="24"/>
          <w:szCs w:val="24"/>
        </w:rPr>
        <w:t>)</w:t>
      </w:r>
      <w:r w:rsidR="00AC4380" w:rsidRPr="006E2046">
        <w:rPr>
          <w:rFonts w:ascii="Times New Roman" w:hAnsi="Times New Roman" w:cs="Times New Roman"/>
          <w:sz w:val="24"/>
          <w:szCs w:val="24"/>
        </w:rPr>
        <w:t xml:space="preserve"> </w:t>
      </w:r>
      <w:r w:rsidR="00357199" w:rsidRPr="006E2046">
        <w:rPr>
          <w:rFonts w:ascii="Times New Roman" w:hAnsi="Times New Roman" w:cs="Times New Roman"/>
          <w:sz w:val="24"/>
          <w:szCs w:val="24"/>
        </w:rPr>
        <w:t>or CPLR</w:t>
      </w:r>
      <w:r w:rsidR="00AC4380" w:rsidRPr="006E2046">
        <w:rPr>
          <w:rFonts w:ascii="Times New Roman" w:hAnsi="Times New Roman" w:cs="Times New Roman"/>
          <w:sz w:val="24"/>
          <w:szCs w:val="24"/>
        </w:rPr>
        <w:t xml:space="preserve"> 2307 </w:t>
      </w:r>
      <w:r w:rsidR="000F519C" w:rsidRPr="006E2046">
        <w:rPr>
          <w:rFonts w:ascii="Times New Roman" w:hAnsi="Times New Roman" w:cs="Times New Roman"/>
          <w:sz w:val="24"/>
          <w:szCs w:val="24"/>
        </w:rPr>
        <w:t>(</w:t>
      </w:r>
      <w:r w:rsidR="00AC4380" w:rsidRPr="006E2046">
        <w:rPr>
          <w:rFonts w:ascii="Times New Roman" w:hAnsi="Times New Roman" w:cs="Times New Roman"/>
          <w:i/>
          <w:iCs/>
          <w:sz w:val="24"/>
          <w:szCs w:val="24"/>
        </w:rPr>
        <w:t>Books, papers and other things of a library, department or bureau of a municipal corporation or of the state</w:t>
      </w:r>
      <w:r w:rsidR="00795857" w:rsidRPr="006E2046">
        <w:rPr>
          <w:rFonts w:ascii="Times New Roman" w:hAnsi="Times New Roman" w:cs="Times New Roman"/>
          <w:sz w:val="24"/>
          <w:szCs w:val="24"/>
        </w:rPr>
        <w:t>)</w:t>
      </w:r>
      <w:r w:rsidR="00AC4380" w:rsidRPr="006E2046">
        <w:rPr>
          <w:rFonts w:ascii="Times New Roman" w:hAnsi="Times New Roman" w:cs="Times New Roman"/>
          <w:sz w:val="24"/>
          <w:szCs w:val="24"/>
        </w:rPr>
        <w:t xml:space="preserve"> </w:t>
      </w:r>
      <w:r w:rsidR="009F642F" w:rsidRPr="006E2046">
        <w:rPr>
          <w:rFonts w:ascii="Times New Roman" w:hAnsi="Times New Roman" w:cs="Times New Roman"/>
          <w:sz w:val="24"/>
          <w:szCs w:val="24"/>
        </w:rPr>
        <w:t>will on admission in evidence also be</w:t>
      </w:r>
      <w:r w:rsidR="005A7E24" w:rsidRPr="006E2046">
        <w:rPr>
          <w:rFonts w:ascii="Times New Roman" w:hAnsi="Times New Roman" w:cs="Times New Roman"/>
          <w:sz w:val="24"/>
          <w:szCs w:val="24"/>
        </w:rPr>
        <w:t xml:space="preserve"> </w:t>
      </w:r>
      <w:r w:rsidR="002E4462" w:rsidRPr="006E2046">
        <w:rPr>
          <w:rFonts w:ascii="Times New Roman" w:hAnsi="Times New Roman" w:cs="Times New Roman"/>
          <w:sz w:val="24"/>
          <w:szCs w:val="24"/>
        </w:rPr>
        <w:t>“</w:t>
      </w:r>
      <w:r w:rsidR="002132BC" w:rsidRPr="006E2046">
        <w:rPr>
          <w:rFonts w:ascii="Times New Roman" w:hAnsi="Times New Roman" w:cs="Times New Roman"/>
          <w:sz w:val="24"/>
          <w:szCs w:val="24"/>
        </w:rPr>
        <w:t xml:space="preserve">prima facie evidence of the facts contained, provided they bear a certification or authentication by the head of the hospital, laboratory, department or bureau of a municipal corporation or of the state, or by an employee delegated for that purpose or by a qualified physician.” </w:t>
      </w:r>
      <w:r w:rsidR="00795857" w:rsidRPr="006E2046">
        <w:rPr>
          <w:rFonts w:ascii="Times New Roman" w:hAnsi="Times New Roman" w:cs="Times New Roman"/>
          <w:sz w:val="24"/>
          <w:szCs w:val="24"/>
        </w:rPr>
        <w:t>(</w:t>
      </w:r>
      <w:r w:rsidR="002132BC" w:rsidRPr="006E2046">
        <w:rPr>
          <w:rFonts w:ascii="Times New Roman" w:hAnsi="Times New Roman" w:cs="Times New Roman"/>
          <w:sz w:val="24"/>
          <w:szCs w:val="24"/>
        </w:rPr>
        <w:t>GNYE rule 8.08</w:t>
      </w:r>
      <w:r w:rsidR="00795857" w:rsidRPr="006E2046">
        <w:rPr>
          <w:rFonts w:ascii="Times New Roman" w:hAnsi="Times New Roman" w:cs="Times New Roman"/>
          <w:sz w:val="24"/>
          <w:szCs w:val="24"/>
        </w:rPr>
        <w:t xml:space="preserve"> [</w:t>
      </w:r>
      <w:r w:rsidR="002132BC" w:rsidRPr="006E2046">
        <w:rPr>
          <w:rFonts w:ascii="Times New Roman" w:hAnsi="Times New Roman" w:cs="Times New Roman"/>
          <w:sz w:val="24"/>
          <w:szCs w:val="24"/>
        </w:rPr>
        <w:t>c</w:t>
      </w:r>
      <w:r w:rsidR="00795857" w:rsidRPr="006E2046">
        <w:rPr>
          <w:rFonts w:ascii="Times New Roman" w:hAnsi="Times New Roman" w:cs="Times New Roman"/>
          <w:sz w:val="24"/>
          <w:szCs w:val="24"/>
        </w:rPr>
        <w:t>]</w:t>
      </w:r>
      <w:r w:rsidR="002132BC" w:rsidRPr="006E2046">
        <w:rPr>
          <w:rFonts w:ascii="Times New Roman" w:hAnsi="Times New Roman" w:cs="Times New Roman"/>
          <w:sz w:val="24"/>
          <w:szCs w:val="24"/>
        </w:rPr>
        <w:t>.</w:t>
      </w:r>
      <w:r w:rsidR="00795857" w:rsidRPr="006E2046">
        <w:rPr>
          <w:rFonts w:ascii="Times New Roman" w:hAnsi="Times New Roman" w:cs="Times New Roman"/>
          <w:sz w:val="24"/>
          <w:szCs w:val="24"/>
        </w:rPr>
        <w:t>)</w:t>
      </w:r>
      <w:r w:rsidR="009C5B2C" w:rsidRPr="006E2046">
        <w:rPr>
          <w:rFonts w:ascii="Times New Roman" w:hAnsi="Times New Roman" w:cs="Times New Roman"/>
          <w:sz w:val="24"/>
          <w:szCs w:val="24"/>
        </w:rPr>
        <w:t xml:space="preserve"> Other business record</w:t>
      </w:r>
      <w:r w:rsidR="000F6E27" w:rsidRPr="006E2046">
        <w:rPr>
          <w:rFonts w:ascii="Times New Roman" w:hAnsi="Times New Roman" w:cs="Times New Roman"/>
          <w:sz w:val="24"/>
          <w:szCs w:val="24"/>
        </w:rPr>
        <w:t>s</w:t>
      </w:r>
      <w:r w:rsidR="009C5B2C" w:rsidRPr="006E2046">
        <w:rPr>
          <w:rFonts w:ascii="Times New Roman" w:hAnsi="Times New Roman" w:cs="Times New Roman"/>
          <w:sz w:val="24"/>
          <w:szCs w:val="24"/>
        </w:rPr>
        <w:t xml:space="preserve"> are admitted </w:t>
      </w:r>
      <w:r w:rsidR="00D026EE" w:rsidRPr="006E2046">
        <w:rPr>
          <w:rFonts w:ascii="Times New Roman" w:hAnsi="Times New Roman" w:cs="Times New Roman"/>
          <w:sz w:val="24"/>
          <w:szCs w:val="24"/>
        </w:rPr>
        <w:t xml:space="preserve">as </w:t>
      </w:r>
      <w:r w:rsidR="0095626D" w:rsidRPr="006E2046">
        <w:rPr>
          <w:rFonts w:ascii="Times New Roman" w:hAnsi="Times New Roman" w:cs="Times New Roman"/>
          <w:sz w:val="24"/>
          <w:szCs w:val="24"/>
        </w:rPr>
        <w:t>evidence of the facts contained in the record.</w:t>
      </w:r>
    </w:p>
    <w:p w14:paraId="41EED055" w14:textId="77777777" w:rsidR="00E64D08" w:rsidRPr="006E2046" w:rsidRDefault="00E64D08" w:rsidP="000D7330">
      <w:pPr>
        <w:spacing w:after="0" w:line="276" w:lineRule="auto"/>
        <w:jc w:val="both"/>
        <w:rPr>
          <w:rFonts w:ascii="Times New Roman" w:hAnsi="Times New Roman" w:cs="Times New Roman"/>
          <w:sz w:val="24"/>
          <w:szCs w:val="24"/>
        </w:rPr>
      </w:pPr>
    </w:p>
    <w:p w14:paraId="31359679" w14:textId="7DD72C12" w:rsidR="009C065C" w:rsidRPr="006E2046" w:rsidRDefault="00977BCC" w:rsidP="000D7330">
      <w:pPr>
        <w:shd w:val="clear" w:color="auto" w:fill="FFFFFF"/>
        <w:spacing w:after="0" w:line="276" w:lineRule="auto"/>
        <w:jc w:val="both"/>
        <w:rPr>
          <w:rFonts w:ascii="Times New Roman" w:hAnsi="Times New Roman" w:cs="Times New Roman"/>
          <w:sz w:val="24"/>
          <w:szCs w:val="24"/>
          <w:shd w:val="clear" w:color="auto" w:fill="FFFFFF"/>
        </w:rPr>
      </w:pPr>
      <w:r w:rsidRPr="006E2046">
        <w:rPr>
          <w:rFonts w:ascii="Times New Roman" w:eastAsia="Times New Roman" w:hAnsi="Times New Roman" w:cs="Times New Roman"/>
          <w:i/>
          <w:iCs/>
          <w:sz w:val="24"/>
          <w:szCs w:val="24"/>
        </w:rPr>
        <w:tab/>
      </w:r>
      <w:r w:rsidR="00CF6623" w:rsidRPr="006E2046">
        <w:rPr>
          <w:rFonts w:ascii="Times New Roman" w:eastAsia="Times New Roman" w:hAnsi="Times New Roman" w:cs="Times New Roman"/>
          <w:sz w:val="24"/>
          <w:szCs w:val="24"/>
        </w:rPr>
        <w:t>There</w:t>
      </w:r>
      <w:r w:rsidR="00244297" w:rsidRPr="006E2046">
        <w:rPr>
          <w:rFonts w:ascii="Times New Roman" w:eastAsia="Times New Roman" w:hAnsi="Times New Roman" w:cs="Times New Roman"/>
          <w:sz w:val="24"/>
          <w:szCs w:val="24"/>
        </w:rPr>
        <w:t xml:space="preserve"> is a</w:t>
      </w:r>
      <w:r w:rsidR="00686BB3" w:rsidRPr="006E2046">
        <w:rPr>
          <w:rFonts w:ascii="Times New Roman" w:eastAsia="Times New Roman" w:hAnsi="Times New Roman" w:cs="Times New Roman"/>
          <w:sz w:val="24"/>
          <w:szCs w:val="24"/>
        </w:rPr>
        <w:t xml:space="preserve"> </w:t>
      </w:r>
      <w:r w:rsidR="000F1673" w:rsidRPr="006E2046">
        <w:rPr>
          <w:rFonts w:ascii="Times New Roman" w:eastAsia="Times New Roman" w:hAnsi="Times New Roman" w:cs="Times New Roman"/>
          <w:sz w:val="24"/>
          <w:szCs w:val="24"/>
        </w:rPr>
        <w:t>special</w:t>
      </w:r>
      <w:r w:rsidR="00244297" w:rsidRPr="006E2046">
        <w:rPr>
          <w:rFonts w:ascii="Times New Roman" w:eastAsia="Times New Roman" w:hAnsi="Times New Roman" w:cs="Times New Roman"/>
          <w:sz w:val="24"/>
          <w:szCs w:val="24"/>
        </w:rPr>
        <w:t xml:space="preserve"> </w:t>
      </w:r>
      <w:r w:rsidR="00686BB3" w:rsidRPr="006E2046">
        <w:rPr>
          <w:rFonts w:ascii="Times New Roman" w:eastAsia="Times New Roman" w:hAnsi="Times New Roman" w:cs="Times New Roman"/>
          <w:sz w:val="24"/>
          <w:szCs w:val="24"/>
        </w:rPr>
        <w:t xml:space="preserve">exception to the hearsay rule for </w:t>
      </w:r>
      <w:r w:rsidR="00A1750C" w:rsidRPr="006E2046">
        <w:rPr>
          <w:rFonts w:ascii="Times New Roman" w:eastAsia="Times New Roman" w:hAnsi="Times New Roman" w:cs="Times New Roman"/>
          <w:sz w:val="24"/>
          <w:szCs w:val="24"/>
        </w:rPr>
        <w:t>health records</w:t>
      </w:r>
      <w:r w:rsidR="000E7CD8" w:rsidRPr="006E2046">
        <w:rPr>
          <w:rFonts w:ascii="Times New Roman" w:eastAsia="Times New Roman" w:hAnsi="Times New Roman" w:cs="Times New Roman"/>
          <w:sz w:val="24"/>
          <w:szCs w:val="24"/>
        </w:rPr>
        <w:t xml:space="preserve"> in</w:t>
      </w:r>
      <w:r w:rsidR="00A1750C" w:rsidRPr="006E2046">
        <w:rPr>
          <w:rFonts w:ascii="Times New Roman" w:eastAsia="Times New Roman" w:hAnsi="Times New Roman" w:cs="Times New Roman"/>
          <w:sz w:val="24"/>
          <w:szCs w:val="24"/>
        </w:rPr>
        <w:t xml:space="preserve"> </w:t>
      </w:r>
      <w:r w:rsidR="00244297" w:rsidRPr="006E2046">
        <w:rPr>
          <w:rFonts w:ascii="Times New Roman" w:eastAsia="Times New Roman" w:hAnsi="Times New Roman" w:cs="Times New Roman"/>
          <w:sz w:val="24"/>
          <w:szCs w:val="24"/>
        </w:rPr>
        <w:t>Public Health Law § 10</w:t>
      </w:r>
      <w:r w:rsidR="00360C05" w:rsidRPr="006E2046">
        <w:rPr>
          <w:rFonts w:ascii="Times New Roman" w:eastAsia="Times New Roman" w:hAnsi="Times New Roman" w:cs="Times New Roman"/>
          <w:sz w:val="24"/>
          <w:szCs w:val="24"/>
        </w:rPr>
        <w:t xml:space="preserve"> </w:t>
      </w:r>
      <w:r w:rsidR="00244297" w:rsidRPr="006E2046">
        <w:rPr>
          <w:rFonts w:ascii="Times New Roman" w:eastAsia="Times New Roman" w:hAnsi="Times New Roman" w:cs="Times New Roman"/>
          <w:sz w:val="24"/>
          <w:szCs w:val="24"/>
        </w:rPr>
        <w:t>(2)</w:t>
      </w:r>
      <w:r w:rsidR="002D1836" w:rsidRPr="006E2046">
        <w:rPr>
          <w:rFonts w:ascii="Times New Roman" w:eastAsia="Times New Roman" w:hAnsi="Times New Roman" w:cs="Times New Roman"/>
          <w:sz w:val="24"/>
          <w:szCs w:val="24"/>
        </w:rPr>
        <w:t xml:space="preserve">. </w:t>
      </w:r>
      <w:r w:rsidR="008E64EB" w:rsidRPr="006E2046">
        <w:rPr>
          <w:rFonts w:ascii="Times New Roman" w:eastAsia="Times New Roman" w:hAnsi="Times New Roman" w:cs="Times New Roman"/>
          <w:sz w:val="24"/>
          <w:szCs w:val="24"/>
        </w:rPr>
        <w:t>That statute</w:t>
      </w:r>
      <w:r w:rsidR="00244297" w:rsidRPr="006E2046">
        <w:rPr>
          <w:rFonts w:ascii="Times New Roman" w:eastAsia="Times New Roman" w:hAnsi="Times New Roman" w:cs="Times New Roman"/>
          <w:sz w:val="24"/>
          <w:szCs w:val="24"/>
        </w:rPr>
        <w:t xml:space="preserve"> </w:t>
      </w:r>
      <w:r w:rsidR="00DF79AC" w:rsidRPr="006E2046">
        <w:rPr>
          <w:rFonts w:ascii="Times New Roman" w:eastAsia="Times New Roman" w:hAnsi="Times New Roman" w:cs="Times New Roman"/>
          <w:sz w:val="24"/>
          <w:szCs w:val="24"/>
        </w:rPr>
        <w:t>provides that “</w:t>
      </w:r>
      <w:r w:rsidR="008F331B" w:rsidRPr="006E2046">
        <w:rPr>
          <w:rFonts w:ascii="Times New Roman" w:eastAsia="Times New Roman" w:hAnsi="Times New Roman" w:cs="Times New Roman"/>
          <w:sz w:val="24"/>
          <w:szCs w:val="24"/>
        </w:rPr>
        <w:t>written reports of state and local health officers, inspectors, investigators, nurses and other representatives of state and local health officers on questions of fact pertaining to, concerning or arising under and in connection with complaints, alleged violations, investigations, proceedings, actions, authority and orders, related to the enforcement of this chapter, the sanitary code or any local health regulation shall be presumptive evidence of the facts so stated therein, and shall be received as such in all courts and places.</w:t>
      </w:r>
      <w:r w:rsidR="002C71DF" w:rsidRPr="006E2046">
        <w:rPr>
          <w:rFonts w:ascii="Times New Roman" w:eastAsia="Times New Roman" w:hAnsi="Times New Roman" w:cs="Times New Roman"/>
          <w:sz w:val="24"/>
          <w:szCs w:val="24"/>
        </w:rPr>
        <w:t>”</w:t>
      </w:r>
      <w:r w:rsidR="009A324E" w:rsidRPr="006E2046">
        <w:rPr>
          <w:rFonts w:ascii="Times New Roman" w:eastAsia="Times New Roman" w:hAnsi="Times New Roman" w:cs="Times New Roman"/>
          <w:sz w:val="24"/>
          <w:szCs w:val="24"/>
        </w:rPr>
        <w:t xml:space="preserve"> </w:t>
      </w:r>
      <w:r w:rsidR="008127DA" w:rsidRPr="006E2046">
        <w:rPr>
          <w:rFonts w:ascii="Times New Roman" w:eastAsia="Times New Roman" w:hAnsi="Times New Roman" w:cs="Times New Roman"/>
          <w:sz w:val="24"/>
          <w:szCs w:val="24"/>
        </w:rPr>
        <w:t>(</w:t>
      </w:r>
      <w:r w:rsidR="009C065C" w:rsidRPr="006E2046">
        <w:rPr>
          <w:rFonts w:ascii="Times New Roman" w:eastAsia="Times New Roman" w:hAnsi="Times New Roman" w:cs="Times New Roman"/>
          <w:i/>
          <w:iCs/>
          <w:sz w:val="24"/>
          <w:szCs w:val="24"/>
        </w:rPr>
        <w:t xml:space="preserve">See </w:t>
      </w:r>
      <w:r w:rsidR="009C065C" w:rsidRPr="006E2046">
        <w:rPr>
          <w:rFonts w:ascii="Times New Roman" w:eastAsia="Times New Roman" w:hAnsi="Times New Roman" w:cs="Times New Roman"/>
          <w:i/>
          <w:iCs/>
          <w:sz w:val="24"/>
          <w:szCs w:val="24"/>
          <w:bdr w:val="none" w:sz="0" w:space="0" w:color="auto" w:frame="1"/>
        </w:rPr>
        <w:t>Cramer v Benedictine Hosp.</w:t>
      </w:r>
      <w:r w:rsidR="009C065C" w:rsidRPr="006E2046">
        <w:rPr>
          <w:rFonts w:ascii="Times New Roman" w:eastAsia="Times New Roman" w:hAnsi="Times New Roman" w:cs="Times New Roman"/>
          <w:i/>
          <w:iCs/>
          <w:sz w:val="24"/>
          <w:szCs w:val="24"/>
        </w:rPr>
        <w:t xml:space="preserve">, </w:t>
      </w:r>
      <w:r w:rsidR="009C065C" w:rsidRPr="006E2046">
        <w:rPr>
          <w:rFonts w:ascii="Times New Roman" w:eastAsia="Times New Roman" w:hAnsi="Times New Roman" w:cs="Times New Roman"/>
          <w:sz w:val="24"/>
          <w:szCs w:val="24"/>
        </w:rPr>
        <w:t>190 Misc 2d 191 [Sup Ct</w:t>
      </w:r>
      <w:r w:rsidR="00360C05" w:rsidRPr="006E2046">
        <w:rPr>
          <w:rFonts w:ascii="Times New Roman" w:eastAsia="Times New Roman" w:hAnsi="Times New Roman" w:cs="Times New Roman"/>
          <w:sz w:val="24"/>
          <w:szCs w:val="24"/>
        </w:rPr>
        <w:t>, Ulster County</w:t>
      </w:r>
      <w:r w:rsidR="009C065C" w:rsidRPr="006E2046">
        <w:rPr>
          <w:rFonts w:ascii="Times New Roman" w:eastAsia="Times New Roman" w:hAnsi="Times New Roman" w:cs="Times New Roman"/>
          <w:sz w:val="24"/>
          <w:szCs w:val="24"/>
        </w:rPr>
        <w:t xml:space="preserve"> 2002]</w:t>
      </w:r>
      <w:r w:rsidR="00360C05" w:rsidRPr="006E2046">
        <w:rPr>
          <w:rFonts w:ascii="Times New Roman" w:eastAsia="Times New Roman" w:hAnsi="Times New Roman" w:cs="Times New Roman"/>
          <w:sz w:val="24"/>
          <w:szCs w:val="24"/>
        </w:rPr>
        <w:t>.</w:t>
      </w:r>
      <w:r w:rsidR="008127DA" w:rsidRPr="006E2046">
        <w:rPr>
          <w:rFonts w:ascii="Times New Roman" w:eastAsia="Times New Roman" w:hAnsi="Times New Roman" w:cs="Times New Roman"/>
          <w:sz w:val="24"/>
          <w:szCs w:val="24"/>
        </w:rPr>
        <w:t>)</w:t>
      </w:r>
    </w:p>
    <w:p w14:paraId="2B78750C" w14:textId="6FDA7034" w:rsidR="00087CFC" w:rsidRPr="006E2046" w:rsidRDefault="00087CFC" w:rsidP="000D7330">
      <w:pPr>
        <w:shd w:val="clear" w:color="auto" w:fill="FFFFFF"/>
        <w:spacing w:after="0" w:line="276" w:lineRule="auto"/>
        <w:jc w:val="both"/>
        <w:rPr>
          <w:rFonts w:ascii="Times New Roman" w:eastAsia="Times New Roman" w:hAnsi="Times New Roman" w:cs="Times New Roman"/>
          <w:sz w:val="24"/>
          <w:szCs w:val="24"/>
        </w:rPr>
      </w:pPr>
    </w:p>
    <w:p w14:paraId="7799D5AD" w14:textId="6183AFAF" w:rsidR="00486E9D" w:rsidRPr="006E2046" w:rsidRDefault="005F394B" w:rsidP="000D7330">
      <w:pPr>
        <w:shd w:val="clear" w:color="auto" w:fill="FFFFFF"/>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r>
      <w:r w:rsidR="00B07C04" w:rsidRPr="006E2046">
        <w:rPr>
          <w:rFonts w:ascii="Times New Roman" w:eastAsia="Times New Roman" w:hAnsi="Times New Roman" w:cs="Times New Roman"/>
          <w:sz w:val="24"/>
          <w:szCs w:val="24"/>
          <w:lang w:val="x-none"/>
        </w:rPr>
        <w:t>In a criminal proceeding, the a</w:t>
      </w:r>
      <w:r w:rsidR="00436B7B" w:rsidRPr="006E2046">
        <w:rPr>
          <w:rFonts w:ascii="Times New Roman" w:eastAsia="Times New Roman" w:hAnsi="Times New Roman" w:cs="Times New Roman"/>
          <w:sz w:val="24"/>
          <w:szCs w:val="24"/>
          <w:lang w:val="x-none"/>
        </w:rPr>
        <w:t xml:space="preserve">dmission </w:t>
      </w:r>
      <w:r w:rsidR="00B07C04" w:rsidRPr="006E2046">
        <w:rPr>
          <w:rFonts w:ascii="Times New Roman" w:eastAsia="Times New Roman" w:hAnsi="Times New Roman" w:cs="Times New Roman"/>
          <w:sz w:val="24"/>
          <w:szCs w:val="24"/>
          <w:lang w:val="x-none"/>
        </w:rPr>
        <w:t xml:space="preserve">in evidence </w:t>
      </w:r>
      <w:r w:rsidR="00436B7B" w:rsidRPr="006E2046">
        <w:rPr>
          <w:rFonts w:ascii="Times New Roman" w:eastAsia="Times New Roman" w:hAnsi="Times New Roman" w:cs="Times New Roman"/>
          <w:sz w:val="24"/>
          <w:szCs w:val="24"/>
          <w:lang w:val="x-none"/>
        </w:rPr>
        <w:t>of a document may</w:t>
      </w:r>
      <w:r w:rsidR="00B07C04" w:rsidRPr="006E2046">
        <w:rPr>
          <w:rFonts w:ascii="Times New Roman" w:eastAsia="Times New Roman" w:hAnsi="Times New Roman" w:cs="Times New Roman"/>
          <w:sz w:val="24"/>
          <w:szCs w:val="24"/>
          <w:lang w:val="x-none"/>
        </w:rPr>
        <w:t xml:space="preserve"> </w:t>
      </w:r>
      <w:r w:rsidR="00436B7B" w:rsidRPr="006E2046">
        <w:rPr>
          <w:rFonts w:ascii="Times New Roman" w:eastAsia="Times New Roman" w:hAnsi="Times New Roman" w:cs="Times New Roman"/>
          <w:sz w:val="24"/>
          <w:szCs w:val="24"/>
          <w:lang w:val="x-none"/>
        </w:rPr>
        <w:t>be subject to the constitutional right of confrontation (</w:t>
      </w:r>
      <w:r w:rsidR="00436B7B" w:rsidRPr="006E2046">
        <w:rPr>
          <w:rFonts w:ascii="Times New Roman" w:eastAsia="Times New Roman" w:hAnsi="Times New Roman" w:cs="Times New Roman"/>
          <w:i/>
          <w:iCs/>
          <w:sz w:val="24"/>
          <w:szCs w:val="24"/>
          <w:lang w:val="x-none"/>
        </w:rPr>
        <w:t>see</w:t>
      </w:r>
      <w:r w:rsidR="00436B7B" w:rsidRPr="006E2046">
        <w:rPr>
          <w:rFonts w:ascii="Times New Roman" w:eastAsia="Times New Roman" w:hAnsi="Times New Roman" w:cs="Times New Roman"/>
          <w:sz w:val="24"/>
          <w:szCs w:val="24"/>
          <w:lang w:val="x-none"/>
        </w:rPr>
        <w:t xml:space="preserve"> G</w:t>
      </w:r>
      <w:r w:rsidR="00726C39" w:rsidRPr="006E2046">
        <w:rPr>
          <w:rFonts w:ascii="Times New Roman" w:eastAsia="Times New Roman" w:hAnsi="Times New Roman" w:cs="Times New Roman"/>
          <w:sz w:val="24"/>
          <w:szCs w:val="24"/>
          <w:lang w:val="x-none"/>
        </w:rPr>
        <w:t>NYE</w:t>
      </w:r>
      <w:r w:rsidR="00436B7B" w:rsidRPr="006E2046">
        <w:rPr>
          <w:rFonts w:ascii="Times New Roman" w:eastAsia="Times New Roman" w:hAnsi="Times New Roman" w:cs="Times New Roman"/>
          <w:sz w:val="24"/>
          <w:szCs w:val="24"/>
          <w:lang w:val="x-none"/>
        </w:rPr>
        <w:t xml:space="preserve"> rule </w:t>
      </w:r>
      <w:r w:rsidR="00436B7B" w:rsidRPr="006E2046">
        <w:rPr>
          <w:rFonts w:ascii="Times New Roman" w:hAnsi="Times New Roman" w:cs="Times New Roman"/>
          <w:sz w:val="24"/>
          <w:szCs w:val="24"/>
        </w:rPr>
        <w:t>8.02</w:t>
      </w:r>
      <w:r w:rsidR="00360C05" w:rsidRPr="006E2046">
        <w:rPr>
          <w:rFonts w:ascii="Times New Roman" w:hAnsi="Times New Roman" w:cs="Times New Roman"/>
          <w:sz w:val="24"/>
          <w:szCs w:val="24"/>
        </w:rPr>
        <w:t>,</w:t>
      </w:r>
      <w:r w:rsidR="00436B7B" w:rsidRPr="006E2046">
        <w:rPr>
          <w:rFonts w:ascii="Times New Roman" w:hAnsi="Times New Roman" w:cs="Times New Roman"/>
          <w:sz w:val="24"/>
          <w:szCs w:val="24"/>
        </w:rPr>
        <w:t xml:space="preserve"> Admissibility Limited by Confrontation Clause</w:t>
      </w:r>
      <w:r w:rsidR="00360C05" w:rsidRPr="006E2046">
        <w:rPr>
          <w:rFonts w:ascii="Times New Roman" w:hAnsi="Times New Roman" w:cs="Times New Roman"/>
          <w:sz w:val="24"/>
          <w:szCs w:val="24"/>
        </w:rPr>
        <w:t xml:space="preserve"> [</w:t>
      </w:r>
      <w:r w:rsidR="00360C05" w:rsidRPr="006E2046">
        <w:rPr>
          <w:rFonts w:ascii="Times New Roman" w:hAnsi="Times New Roman" w:cs="Times New Roman"/>
          <w:i/>
          <w:iCs/>
          <w:sz w:val="24"/>
          <w:szCs w:val="24"/>
        </w:rPr>
        <w:t>Crawford</w:t>
      </w:r>
      <w:r w:rsidR="00436B7B" w:rsidRPr="006E2046">
        <w:rPr>
          <w:rFonts w:ascii="Times New Roman" w:hAnsi="Times New Roman" w:cs="Times New Roman"/>
          <w:sz w:val="24"/>
          <w:szCs w:val="24"/>
        </w:rPr>
        <w:t>])</w:t>
      </w:r>
      <w:r w:rsidR="00726C39" w:rsidRPr="006E2046">
        <w:rPr>
          <w:rFonts w:ascii="Times New Roman" w:hAnsi="Times New Roman" w:cs="Times New Roman"/>
          <w:sz w:val="24"/>
          <w:szCs w:val="24"/>
        </w:rPr>
        <w:t>.</w:t>
      </w:r>
    </w:p>
    <w:p w14:paraId="3D546FEE" w14:textId="77777777" w:rsidR="00087CFC" w:rsidRPr="006E2046" w:rsidRDefault="00087CFC" w:rsidP="000D7330">
      <w:pPr>
        <w:shd w:val="clear" w:color="auto" w:fill="FFFFFF"/>
        <w:spacing w:after="0" w:line="276" w:lineRule="auto"/>
        <w:jc w:val="both"/>
        <w:rPr>
          <w:rFonts w:ascii="Times New Roman" w:eastAsia="Times New Roman" w:hAnsi="Times New Roman" w:cs="Times New Roman"/>
          <w:sz w:val="24"/>
          <w:szCs w:val="24"/>
        </w:rPr>
      </w:pPr>
    </w:p>
    <w:p w14:paraId="02B87D38" w14:textId="4D7E8CBA" w:rsidR="00D742D6" w:rsidRPr="006E2046" w:rsidRDefault="00726C39" w:rsidP="000D7330">
      <w:pPr>
        <w:spacing w:after="0" w:line="276" w:lineRule="auto"/>
        <w:jc w:val="center"/>
        <w:rPr>
          <w:rFonts w:ascii="Times New Roman" w:hAnsi="Times New Roman" w:cs="Times New Roman"/>
          <w:b/>
          <w:bCs/>
          <w:sz w:val="24"/>
          <w:szCs w:val="24"/>
        </w:rPr>
      </w:pPr>
      <w:r w:rsidRPr="006E2046">
        <w:rPr>
          <w:rFonts w:ascii="Times New Roman" w:hAnsi="Times New Roman" w:cs="Times New Roman"/>
          <w:b/>
          <w:bCs/>
          <w:sz w:val="24"/>
          <w:szCs w:val="24"/>
        </w:rPr>
        <w:t>CPLR 4520</w:t>
      </w:r>
    </w:p>
    <w:p w14:paraId="7AFB788C" w14:textId="77777777" w:rsidR="00E64D08" w:rsidRPr="006E2046" w:rsidRDefault="00E64D08" w:rsidP="000D7330">
      <w:pPr>
        <w:spacing w:after="0" w:line="276" w:lineRule="auto"/>
        <w:rPr>
          <w:rFonts w:ascii="Times New Roman" w:hAnsi="Times New Roman" w:cs="Times New Roman"/>
          <w:sz w:val="24"/>
          <w:szCs w:val="24"/>
        </w:rPr>
      </w:pPr>
    </w:p>
    <w:p w14:paraId="0A536868" w14:textId="7ADE3DB6" w:rsidR="00744EBB" w:rsidRPr="006E2046" w:rsidRDefault="007A4F87" w:rsidP="000D7330">
      <w:pPr>
        <w:spacing w:after="0" w:line="276" w:lineRule="auto"/>
        <w:ind w:firstLine="720"/>
        <w:jc w:val="both"/>
        <w:rPr>
          <w:rFonts w:ascii="Times New Roman" w:hAnsi="Times New Roman" w:cs="Times New Roman"/>
          <w:sz w:val="24"/>
          <w:szCs w:val="24"/>
        </w:rPr>
      </w:pPr>
      <w:r w:rsidRPr="006E2046">
        <w:rPr>
          <w:rFonts w:ascii="Times New Roman" w:hAnsi="Times New Roman" w:cs="Times New Roman"/>
          <w:b/>
          <w:bCs/>
          <w:sz w:val="24"/>
          <w:szCs w:val="24"/>
        </w:rPr>
        <w:t>Part</w:t>
      </w:r>
      <w:r w:rsidR="0091158F" w:rsidRPr="006E2046">
        <w:rPr>
          <w:rFonts w:ascii="Times New Roman" w:hAnsi="Times New Roman" w:cs="Times New Roman"/>
          <w:b/>
          <w:bCs/>
          <w:sz w:val="24"/>
          <w:szCs w:val="24"/>
        </w:rPr>
        <w:t xml:space="preserve"> (</w:t>
      </w:r>
      <w:r w:rsidRPr="006E2046">
        <w:rPr>
          <w:rFonts w:ascii="Times New Roman" w:hAnsi="Times New Roman" w:cs="Times New Roman"/>
          <w:b/>
          <w:bCs/>
          <w:sz w:val="24"/>
          <w:szCs w:val="24"/>
        </w:rPr>
        <w:t>I</w:t>
      </w:r>
      <w:r w:rsidR="0091158F" w:rsidRPr="006E2046">
        <w:rPr>
          <w:rFonts w:ascii="Times New Roman" w:hAnsi="Times New Roman" w:cs="Times New Roman"/>
          <w:b/>
          <w:bCs/>
          <w:sz w:val="24"/>
          <w:szCs w:val="24"/>
        </w:rPr>
        <w:t>)</w:t>
      </w:r>
      <w:r w:rsidR="007E7EB0" w:rsidRPr="006E2046">
        <w:rPr>
          <w:rFonts w:ascii="Times New Roman" w:hAnsi="Times New Roman" w:cs="Times New Roman"/>
          <w:b/>
          <w:bCs/>
          <w:sz w:val="24"/>
          <w:szCs w:val="24"/>
        </w:rPr>
        <w:t xml:space="preserve"> </w:t>
      </w:r>
      <w:r w:rsidR="00090219" w:rsidRPr="006E2046">
        <w:rPr>
          <w:rFonts w:ascii="Times New Roman" w:hAnsi="Times New Roman" w:cs="Times New Roman"/>
          <w:sz w:val="24"/>
          <w:szCs w:val="24"/>
        </w:rPr>
        <w:t xml:space="preserve">restates verbatim CPLR 4520. It creates a hearsay exception for certain </w:t>
      </w:r>
      <w:r w:rsidR="004D38F6" w:rsidRPr="006E2046">
        <w:rPr>
          <w:rFonts w:ascii="Times New Roman" w:hAnsi="Times New Roman" w:cs="Times New Roman"/>
          <w:sz w:val="24"/>
          <w:szCs w:val="24"/>
        </w:rPr>
        <w:t>records or documents</w:t>
      </w:r>
      <w:r w:rsidR="00744EBB" w:rsidRPr="006E2046">
        <w:rPr>
          <w:rFonts w:ascii="Times New Roman" w:hAnsi="Times New Roman" w:cs="Times New Roman"/>
          <w:sz w:val="24"/>
          <w:szCs w:val="24"/>
        </w:rPr>
        <w:t xml:space="preserve"> </w:t>
      </w:r>
      <w:r w:rsidR="006522F0" w:rsidRPr="006E2046">
        <w:rPr>
          <w:rFonts w:ascii="Times New Roman" w:hAnsi="Times New Roman" w:cs="Times New Roman"/>
          <w:sz w:val="24"/>
          <w:szCs w:val="24"/>
        </w:rPr>
        <w:t>in the form of a “</w:t>
      </w:r>
      <w:r w:rsidR="00744EBB" w:rsidRPr="006E2046">
        <w:rPr>
          <w:rFonts w:ascii="Times New Roman" w:hAnsi="Times New Roman" w:cs="Times New Roman"/>
          <w:sz w:val="24"/>
          <w:szCs w:val="24"/>
        </w:rPr>
        <w:t>certificate or affidavit</w:t>
      </w:r>
      <w:r w:rsidR="009910AF" w:rsidRPr="006E2046">
        <w:rPr>
          <w:rFonts w:ascii="Times New Roman" w:hAnsi="Times New Roman" w:cs="Times New Roman"/>
          <w:sz w:val="24"/>
          <w:szCs w:val="24"/>
        </w:rPr>
        <w:t>,”</w:t>
      </w:r>
      <w:r w:rsidR="00090219" w:rsidRPr="006E2046">
        <w:rPr>
          <w:rFonts w:ascii="Times New Roman" w:hAnsi="Times New Roman" w:cs="Times New Roman"/>
          <w:sz w:val="24"/>
          <w:szCs w:val="24"/>
        </w:rPr>
        <w:t xml:space="preserve"> </w:t>
      </w:r>
      <w:r w:rsidR="004D38F6" w:rsidRPr="006E2046">
        <w:rPr>
          <w:rFonts w:ascii="Times New Roman" w:hAnsi="Times New Roman" w:cs="Times New Roman"/>
          <w:sz w:val="24"/>
          <w:szCs w:val="24"/>
        </w:rPr>
        <w:t>prepared by public officers</w:t>
      </w:r>
      <w:r w:rsidR="009910AF" w:rsidRPr="006E2046">
        <w:rPr>
          <w:rFonts w:ascii="Times New Roman" w:hAnsi="Times New Roman" w:cs="Times New Roman"/>
          <w:sz w:val="24"/>
          <w:szCs w:val="24"/>
        </w:rPr>
        <w:t>,</w:t>
      </w:r>
      <w:r w:rsidR="004D38F6" w:rsidRPr="006E2046">
        <w:rPr>
          <w:rFonts w:ascii="Times New Roman" w:hAnsi="Times New Roman" w:cs="Times New Roman"/>
          <w:sz w:val="24"/>
          <w:szCs w:val="24"/>
        </w:rPr>
        <w:t xml:space="preserve"> and filed in New York within a public office of the state.</w:t>
      </w:r>
      <w:r w:rsidR="00E23746" w:rsidRPr="006E2046">
        <w:rPr>
          <w:rFonts w:ascii="Times New Roman" w:hAnsi="Times New Roman" w:cs="Times New Roman"/>
          <w:sz w:val="24"/>
          <w:szCs w:val="24"/>
        </w:rPr>
        <w:t xml:space="preserve"> </w:t>
      </w:r>
      <w:r w:rsidR="00033750" w:rsidRPr="006E2046">
        <w:rPr>
          <w:rFonts w:ascii="Times New Roman" w:hAnsi="Times New Roman" w:cs="Times New Roman"/>
          <w:sz w:val="24"/>
          <w:szCs w:val="24"/>
        </w:rPr>
        <w:t>A record or document admissible under this rule constitutes “prima facie evidence of the facts stated.” (</w:t>
      </w:r>
      <w:r w:rsidR="00033750" w:rsidRPr="006E2046">
        <w:rPr>
          <w:rFonts w:ascii="Times New Roman" w:hAnsi="Times New Roman" w:cs="Times New Roman"/>
          <w:i/>
          <w:sz w:val="24"/>
          <w:szCs w:val="24"/>
        </w:rPr>
        <w:t>See People v Brown</w:t>
      </w:r>
      <w:r w:rsidR="00033750" w:rsidRPr="006E2046">
        <w:rPr>
          <w:rFonts w:ascii="Times New Roman" w:hAnsi="Times New Roman" w:cs="Times New Roman"/>
          <w:sz w:val="24"/>
          <w:szCs w:val="24"/>
        </w:rPr>
        <w:t>, 221 AD2d 270 [1</w:t>
      </w:r>
      <w:r w:rsidR="00CF1BBB" w:rsidRPr="006E2046">
        <w:rPr>
          <w:rFonts w:ascii="Times New Roman" w:hAnsi="Times New Roman" w:cs="Times New Roman"/>
          <w:sz w:val="24"/>
          <w:szCs w:val="24"/>
        </w:rPr>
        <w:t xml:space="preserve">st </w:t>
      </w:r>
      <w:r w:rsidR="00033750" w:rsidRPr="006E2046">
        <w:rPr>
          <w:rFonts w:ascii="Times New Roman" w:hAnsi="Times New Roman" w:cs="Times New Roman"/>
          <w:sz w:val="24"/>
          <w:szCs w:val="24"/>
        </w:rPr>
        <w:t>Dept 1995]</w:t>
      </w:r>
      <w:r w:rsidR="00CF1BBB" w:rsidRPr="006E2046">
        <w:rPr>
          <w:rFonts w:ascii="Times New Roman" w:hAnsi="Times New Roman" w:cs="Times New Roman"/>
          <w:sz w:val="24"/>
          <w:szCs w:val="24"/>
        </w:rPr>
        <w:t>.</w:t>
      </w:r>
      <w:r w:rsidR="00033750" w:rsidRPr="006E2046">
        <w:rPr>
          <w:rFonts w:ascii="Times New Roman" w:hAnsi="Times New Roman" w:cs="Times New Roman"/>
          <w:sz w:val="24"/>
          <w:szCs w:val="24"/>
        </w:rPr>
        <w:t>)</w:t>
      </w:r>
    </w:p>
    <w:p w14:paraId="1A48502A" w14:textId="77777777" w:rsidR="00E64D08" w:rsidRPr="006E2046" w:rsidRDefault="00E64D08" w:rsidP="000D7330">
      <w:pPr>
        <w:spacing w:after="0" w:line="276" w:lineRule="auto"/>
        <w:jc w:val="both"/>
        <w:rPr>
          <w:rFonts w:ascii="Times New Roman" w:hAnsi="Times New Roman" w:cs="Times New Roman"/>
          <w:sz w:val="24"/>
          <w:szCs w:val="24"/>
        </w:rPr>
      </w:pPr>
    </w:p>
    <w:p w14:paraId="54454840" w14:textId="2936D631" w:rsidR="009B7B21" w:rsidRPr="006E2046" w:rsidRDefault="00E23746" w:rsidP="000D7330">
      <w:pPr>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t xml:space="preserve">To be admissible under </w:t>
      </w:r>
      <w:r w:rsidR="00F83817" w:rsidRPr="006E2046">
        <w:rPr>
          <w:rFonts w:ascii="Times New Roman" w:hAnsi="Times New Roman" w:cs="Times New Roman"/>
          <w:sz w:val="24"/>
          <w:szCs w:val="24"/>
        </w:rPr>
        <w:t xml:space="preserve">this </w:t>
      </w:r>
      <w:r w:rsidRPr="006E2046">
        <w:rPr>
          <w:rFonts w:ascii="Times New Roman" w:hAnsi="Times New Roman" w:cs="Times New Roman"/>
          <w:sz w:val="24"/>
          <w:szCs w:val="24"/>
        </w:rPr>
        <w:t>rule,</w:t>
      </w:r>
      <w:r w:rsidR="00CE39CE" w:rsidRPr="006E2046">
        <w:rPr>
          <w:rFonts w:ascii="Times New Roman" w:hAnsi="Times New Roman" w:cs="Times New Roman"/>
          <w:sz w:val="24"/>
          <w:szCs w:val="24"/>
        </w:rPr>
        <w:t xml:space="preserve"> the </w:t>
      </w:r>
      <w:r w:rsidR="00A16D0F" w:rsidRPr="006E2046">
        <w:rPr>
          <w:rFonts w:ascii="Times New Roman" w:hAnsi="Times New Roman" w:cs="Times New Roman"/>
          <w:sz w:val="24"/>
          <w:szCs w:val="24"/>
        </w:rPr>
        <w:t xml:space="preserve">statute prescribes the </w:t>
      </w:r>
      <w:r w:rsidR="00CE39CE" w:rsidRPr="006E2046">
        <w:rPr>
          <w:rFonts w:ascii="Times New Roman" w:hAnsi="Times New Roman" w:cs="Times New Roman"/>
          <w:sz w:val="24"/>
          <w:szCs w:val="24"/>
        </w:rPr>
        <w:t>following</w:t>
      </w:r>
      <w:r w:rsidRPr="006E2046">
        <w:rPr>
          <w:rFonts w:ascii="Times New Roman" w:hAnsi="Times New Roman" w:cs="Times New Roman"/>
          <w:sz w:val="24"/>
          <w:szCs w:val="24"/>
        </w:rPr>
        <w:t xml:space="preserve"> requirements</w:t>
      </w:r>
      <w:r w:rsidR="00A16D0F" w:rsidRPr="006E2046">
        <w:rPr>
          <w:rFonts w:ascii="Times New Roman" w:hAnsi="Times New Roman" w:cs="Times New Roman"/>
          <w:sz w:val="24"/>
          <w:szCs w:val="24"/>
        </w:rPr>
        <w:t>:</w:t>
      </w:r>
    </w:p>
    <w:p w14:paraId="6E552BB8" w14:textId="77777777" w:rsidR="00E147C5" w:rsidRPr="006E2046" w:rsidRDefault="00E147C5" w:rsidP="000D7330">
      <w:pPr>
        <w:spacing w:after="0" w:line="276" w:lineRule="auto"/>
        <w:jc w:val="both"/>
        <w:rPr>
          <w:rFonts w:ascii="Times New Roman" w:hAnsi="Times New Roman" w:cs="Times New Roman"/>
          <w:sz w:val="24"/>
          <w:szCs w:val="24"/>
        </w:rPr>
      </w:pPr>
    </w:p>
    <w:p w14:paraId="4D16866F" w14:textId="61DFACA0"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1</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the record must be made by a public officer; </w:t>
      </w:r>
    </w:p>
    <w:p w14:paraId="786F2C2D" w14:textId="381E9288"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2</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it must be in the form of a “certificate” or “affidavit”; </w:t>
      </w:r>
    </w:p>
    <w:p w14:paraId="52E92BC4" w14:textId="0F23F1E2"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3</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the record must be required or authorized “by special provision of law”; </w:t>
      </w:r>
    </w:p>
    <w:p w14:paraId="12F4756B" w14:textId="4131718F"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4</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it must be made in the course of the officer</w:t>
      </w:r>
      <w:r w:rsidR="00DA708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s official duty; </w:t>
      </w:r>
    </w:p>
    <w:p w14:paraId="60CEA4FA" w14:textId="5C8E4347"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5</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it must be a record of a fact ascertained or an act performed by the officer; and </w:t>
      </w:r>
    </w:p>
    <w:p w14:paraId="619D1932" w14:textId="49D5B00A" w:rsidR="009B7B21" w:rsidRPr="006E2046" w:rsidRDefault="00E23746"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lastRenderedPageBreak/>
        <w:t>6</w:t>
      </w:r>
      <w:r w:rsidR="00D42B12"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it must be on file or deposit in a public office of the state</w:t>
      </w:r>
      <w:r w:rsidR="007B2938" w:rsidRPr="006E2046">
        <w:rPr>
          <w:rFonts w:ascii="Times New Roman" w:hAnsi="Times New Roman" w:cs="Times New Roman"/>
          <w:sz w:val="24"/>
          <w:szCs w:val="24"/>
          <w:shd w:val="clear" w:color="auto" w:fill="FFFFFF"/>
        </w:rPr>
        <w:t xml:space="preserve"> as opposed to the office of a county, city, town, village or municipality</w:t>
      </w:r>
      <w:r w:rsidRPr="006E2046">
        <w:rPr>
          <w:rFonts w:ascii="Times New Roman" w:hAnsi="Times New Roman" w:cs="Times New Roman"/>
          <w:sz w:val="24"/>
          <w:szCs w:val="24"/>
          <w:shd w:val="clear" w:color="auto" w:fill="FFFFFF"/>
        </w:rPr>
        <w:t>.</w:t>
      </w:r>
    </w:p>
    <w:p w14:paraId="1DE06602" w14:textId="77777777" w:rsidR="00E64D08" w:rsidRPr="006E2046" w:rsidRDefault="00E64D08" w:rsidP="000D7330">
      <w:pPr>
        <w:spacing w:after="0" w:line="276" w:lineRule="auto"/>
        <w:jc w:val="both"/>
        <w:rPr>
          <w:rFonts w:ascii="Times New Roman" w:hAnsi="Times New Roman" w:cs="Times New Roman"/>
          <w:sz w:val="24"/>
          <w:szCs w:val="24"/>
          <w:shd w:val="clear" w:color="auto" w:fill="FFFFFF"/>
        </w:rPr>
      </w:pPr>
    </w:p>
    <w:p w14:paraId="73140550" w14:textId="2E4D33F9" w:rsidR="00E23746" w:rsidRPr="006E2046" w:rsidRDefault="002C5FF9" w:rsidP="000D7330">
      <w:pPr>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ab/>
      </w:r>
      <w:r w:rsidR="00E23746" w:rsidRPr="006E2046">
        <w:rPr>
          <w:rFonts w:ascii="Times New Roman" w:hAnsi="Times New Roman" w:cs="Times New Roman"/>
          <w:sz w:val="24"/>
          <w:szCs w:val="24"/>
          <w:shd w:val="clear" w:color="auto" w:fill="FFFFFF"/>
        </w:rPr>
        <w:t>While the Court of Appeals has not construed the statute, courts have construed these requirements strictly. (</w:t>
      </w:r>
      <w:r w:rsidR="00E23746" w:rsidRPr="006E2046">
        <w:rPr>
          <w:rFonts w:ascii="Times New Roman" w:hAnsi="Times New Roman" w:cs="Times New Roman"/>
          <w:i/>
          <w:sz w:val="24"/>
          <w:szCs w:val="24"/>
          <w:shd w:val="clear" w:color="auto" w:fill="FFFFFF"/>
        </w:rPr>
        <w:t>See People v Garneau</w:t>
      </w:r>
      <w:r w:rsidR="00E23746" w:rsidRPr="006E2046">
        <w:rPr>
          <w:rFonts w:ascii="Times New Roman" w:hAnsi="Times New Roman" w:cs="Times New Roman"/>
          <w:iCs/>
          <w:sz w:val="24"/>
          <w:szCs w:val="24"/>
          <w:shd w:val="clear" w:color="auto" w:fill="FFFFFF"/>
        </w:rPr>
        <w:t>,</w:t>
      </w:r>
      <w:r w:rsidR="00E23746" w:rsidRPr="006E2046">
        <w:rPr>
          <w:rFonts w:ascii="Times New Roman" w:hAnsi="Times New Roman" w:cs="Times New Roman"/>
          <w:i/>
          <w:sz w:val="24"/>
          <w:szCs w:val="24"/>
          <w:shd w:val="clear" w:color="auto" w:fill="FFFFFF"/>
        </w:rPr>
        <w:t xml:space="preserve"> </w:t>
      </w:r>
      <w:r w:rsidR="00E23746" w:rsidRPr="006E2046">
        <w:rPr>
          <w:rFonts w:ascii="Times New Roman" w:hAnsi="Times New Roman" w:cs="Times New Roman"/>
          <w:sz w:val="24"/>
          <w:szCs w:val="24"/>
          <w:shd w:val="clear" w:color="auto" w:fill="FFFFFF"/>
        </w:rPr>
        <w:t>120 AD2d 112 [4</w:t>
      </w:r>
      <w:r w:rsidR="00D42B12" w:rsidRPr="006E2046">
        <w:rPr>
          <w:rFonts w:ascii="Times New Roman" w:hAnsi="Times New Roman" w:cs="Times New Roman"/>
          <w:sz w:val="24"/>
          <w:szCs w:val="24"/>
          <w:shd w:val="clear" w:color="auto" w:fill="FFFFFF"/>
        </w:rPr>
        <w:t xml:space="preserve">th </w:t>
      </w:r>
      <w:r w:rsidR="00E23746" w:rsidRPr="006E2046">
        <w:rPr>
          <w:rFonts w:ascii="Times New Roman" w:hAnsi="Times New Roman" w:cs="Times New Roman"/>
          <w:sz w:val="24"/>
          <w:szCs w:val="24"/>
          <w:shd w:val="clear" w:color="auto" w:fill="FFFFFF"/>
        </w:rPr>
        <w:t>Dept 1986] [breathalyzer test results</w:t>
      </w:r>
      <w:r w:rsidRPr="006E2046">
        <w:rPr>
          <w:rFonts w:ascii="Times New Roman" w:hAnsi="Times New Roman" w:cs="Times New Roman"/>
          <w:sz w:val="24"/>
          <w:szCs w:val="24"/>
          <w:shd w:val="clear" w:color="auto" w:fill="FFFFFF"/>
        </w:rPr>
        <w:t xml:space="preserve"> were</w:t>
      </w:r>
      <w:r w:rsidR="00E23746" w:rsidRPr="006E2046">
        <w:rPr>
          <w:rFonts w:ascii="Times New Roman" w:hAnsi="Times New Roman" w:cs="Times New Roman"/>
          <w:sz w:val="24"/>
          <w:szCs w:val="24"/>
          <w:shd w:val="clear" w:color="auto" w:fill="FFFFFF"/>
        </w:rPr>
        <w:t xml:space="preserve"> not admissible as they were not authorized or required</w:t>
      </w:r>
      <w:r w:rsidRPr="006E2046">
        <w:rPr>
          <w:rFonts w:ascii="Times New Roman" w:hAnsi="Times New Roman" w:cs="Times New Roman"/>
          <w:sz w:val="24"/>
          <w:szCs w:val="24"/>
          <w:shd w:val="clear" w:color="auto" w:fill="FFFFFF"/>
        </w:rPr>
        <w:t xml:space="preserve"> by a special provision of law</w:t>
      </w:r>
      <w:r w:rsidR="00E23746" w:rsidRPr="006E2046">
        <w:rPr>
          <w:rFonts w:ascii="Times New Roman" w:hAnsi="Times New Roman" w:cs="Times New Roman"/>
          <w:sz w:val="24"/>
          <w:szCs w:val="24"/>
          <w:shd w:val="clear" w:color="auto" w:fill="FFFFFF"/>
        </w:rPr>
        <w:t>];</w:t>
      </w:r>
      <w:r w:rsidR="00E23746" w:rsidRPr="006E2046">
        <w:rPr>
          <w:rFonts w:ascii="Times New Roman" w:hAnsi="Times New Roman" w:cs="Times New Roman"/>
          <w:i/>
          <w:iCs/>
          <w:sz w:val="24"/>
          <w:szCs w:val="24"/>
          <w:shd w:val="clear" w:color="auto" w:fill="FFFFFF"/>
        </w:rPr>
        <w:t xml:space="preserve"> </w:t>
      </w:r>
      <w:r w:rsidR="00B54EB6" w:rsidRPr="006E2046">
        <w:rPr>
          <w:rFonts w:ascii="Times New Roman" w:hAnsi="Times New Roman" w:cs="Times New Roman"/>
          <w:i/>
          <w:iCs/>
          <w:sz w:val="24"/>
          <w:szCs w:val="24"/>
          <w:shd w:val="clear" w:color="auto" w:fill="FFFFFF"/>
        </w:rPr>
        <w:t>Kozlowski v City of Amsterdam</w:t>
      </w:r>
      <w:r w:rsidR="00B54EB6" w:rsidRPr="006E2046">
        <w:rPr>
          <w:rFonts w:ascii="Times New Roman" w:hAnsi="Times New Roman" w:cs="Times New Roman"/>
          <w:sz w:val="24"/>
          <w:szCs w:val="24"/>
          <w:shd w:val="clear" w:color="auto" w:fill="FFFFFF"/>
        </w:rPr>
        <w:t>, 111 AD2d 476, 478 [3d Dept 1985] [</w:t>
      </w:r>
      <w:r w:rsidR="00184D2C" w:rsidRPr="006E2046">
        <w:rPr>
          <w:rFonts w:ascii="Times New Roman" w:hAnsi="Times New Roman" w:cs="Times New Roman"/>
          <w:sz w:val="24"/>
          <w:szCs w:val="24"/>
          <w:shd w:val="clear" w:color="auto" w:fill="FFFFFF"/>
        </w:rPr>
        <w:t xml:space="preserve">investigative report prepared by the Medical Review Commission of the State Commission of Corrections concerning the death of an inmate pursuant to statutory mandate </w:t>
      </w:r>
      <w:r w:rsidR="00265FE3" w:rsidRPr="006E2046">
        <w:rPr>
          <w:rFonts w:ascii="Times New Roman" w:hAnsi="Times New Roman" w:cs="Times New Roman"/>
          <w:sz w:val="24"/>
          <w:szCs w:val="24"/>
          <w:shd w:val="clear" w:color="auto" w:fill="FFFFFF"/>
        </w:rPr>
        <w:t xml:space="preserve">was </w:t>
      </w:r>
      <w:r w:rsidR="00184D2C" w:rsidRPr="006E2046">
        <w:rPr>
          <w:rFonts w:ascii="Times New Roman" w:hAnsi="Times New Roman" w:cs="Times New Roman"/>
          <w:sz w:val="24"/>
          <w:szCs w:val="24"/>
          <w:shd w:val="clear" w:color="auto" w:fill="FFFFFF"/>
        </w:rPr>
        <w:t xml:space="preserve">not admissible as it was neither a certificate or affidavit]; </w:t>
      </w:r>
      <w:r w:rsidR="00E23746" w:rsidRPr="006E2046">
        <w:rPr>
          <w:rFonts w:ascii="Times New Roman" w:hAnsi="Times New Roman" w:cs="Times New Roman"/>
          <w:i/>
          <w:sz w:val="24"/>
          <w:szCs w:val="24"/>
          <w:shd w:val="clear" w:color="auto" w:fill="FFFFFF"/>
        </w:rPr>
        <w:t>Bogdan v Peekskill Community Hosp</w:t>
      </w:r>
      <w:r w:rsidR="00E23746" w:rsidRPr="006E2046">
        <w:rPr>
          <w:rFonts w:ascii="Times New Roman" w:hAnsi="Times New Roman" w:cs="Times New Roman"/>
          <w:sz w:val="24"/>
          <w:szCs w:val="24"/>
          <w:shd w:val="clear" w:color="auto" w:fill="FFFFFF"/>
        </w:rPr>
        <w:t>., 168 Misc</w:t>
      </w:r>
      <w:r w:rsidR="00D42B12" w:rsidRPr="006E2046">
        <w:rPr>
          <w:rFonts w:ascii="Times New Roman" w:hAnsi="Times New Roman" w:cs="Times New Roman"/>
          <w:sz w:val="24"/>
          <w:szCs w:val="24"/>
          <w:shd w:val="clear" w:color="auto" w:fill="FFFFFF"/>
        </w:rPr>
        <w:t xml:space="preserve"> </w:t>
      </w:r>
      <w:r w:rsidR="00E23746" w:rsidRPr="006E2046">
        <w:rPr>
          <w:rFonts w:ascii="Times New Roman" w:hAnsi="Times New Roman" w:cs="Times New Roman"/>
          <w:sz w:val="24"/>
          <w:szCs w:val="24"/>
          <w:shd w:val="clear" w:color="auto" w:fill="FFFFFF"/>
        </w:rPr>
        <w:t xml:space="preserve">2d </w:t>
      </w:r>
      <w:r w:rsidR="00D02216" w:rsidRPr="006E2046">
        <w:rPr>
          <w:rFonts w:ascii="Times New Roman" w:hAnsi="Times New Roman" w:cs="Times New Roman"/>
          <w:sz w:val="24"/>
          <w:szCs w:val="24"/>
          <w:shd w:val="clear" w:color="auto" w:fill="FFFFFF"/>
        </w:rPr>
        <w:t>856,</w:t>
      </w:r>
      <w:r w:rsidR="00920F8A" w:rsidRPr="006E2046">
        <w:rPr>
          <w:rFonts w:ascii="Times New Roman" w:hAnsi="Times New Roman" w:cs="Times New Roman"/>
          <w:sz w:val="24"/>
          <w:szCs w:val="24"/>
          <w:shd w:val="clear" w:color="auto" w:fill="FFFFFF"/>
        </w:rPr>
        <w:t xml:space="preserve"> </w:t>
      </w:r>
      <w:r w:rsidR="00E23746" w:rsidRPr="006E2046">
        <w:rPr>
          <w:rFonts w:ascii="Times New Roman" w:hAnsi="Times New Roman" w:cs="Times New Roman"/>
          <w:sz w:val="24"/>
          <w:szCs w:val="24"/>
          <w:shd w:val="clear" w:color="auto" w:fill="FFFFFF"/>
        </w:rPr>
        <w:t>858</w:t>
      </w:r>
      <w:r w:rsidR="00417638" w:rsidRPr="006E2046">
        <w:rPr>
          <w:rFonts w:ascii="Times New Roman" w:hAnsi="Times New Roman" w:cs="Times New Roman"/>
          <w:sz w:val="24"/>
          <w:szCs w:val="24"/>
          <w:shd w:val="clear" w:color="auto" w:fill="FFFFFF"/>
        </w:rPr>
        <w:t xml:space="preserve"> [Sup Ct</w:t>
      </w:r>
      <w:r w:rsidR="00D42B12" w:rsidRPr="006E2046">
        <w:rPr>
          <w:rFonts w:ascii="Times New Roman" w:hAnsi="Times New Roman" w:cs="Times New Roman"/>
          <w:sz w:val="24"/>
          <w:szCs w:val="24"/>
          <w:shd w:val="clear" w:color="auto" w:fill="FFFFFF"/>
        </w:rPr>
        <w:t>, Westchester County</w:t>
      </w:r>
      <w:r w:rsidR="00417638" w:rsidRPr="006E2046">
        <w:rPr>
          <w:rFonts w:ascii="Times New Roman" w:hAnsi="Times New Roman" w:cs="Times New Roman"/>
          <w:sz w:val="24"/>
          <w:szCs w:val="24"/>
          <w:shd w:val="clear" w:color="auto" w:fill="FFFFFF"/>
        </w:rPr>
        <w:t xml:space="preserve"> 1996]</w:t>
      </w:r>
      <w:r w:rsidR="00B072BB" w:rsidRPr="006E2046">
        <w:rPr>
          <w:rFonts w:ascii="Times New Roman" w:hAnsi="Times New Roman" w:cs="Times New Roman"/>
          <w:sz w:val="24"/>
          <w:szCs w:val="24"/>
          <w:shd w:val="clear" w:color="auto" w:fill="FFFFFF"/>
        </w:rPr>
        <w:t xml:space="preserve"> </w:t>
      </w:r>
      <w:r w:rsidR="00E23746" w:rsidRPr="006E2046">
        <w:rPr>
          <w:rFonts w:ascii="Times New Roman" w:hAnsi="Times New Roman" w:cs="Times New Roman"/>
          <w:sz w:val="24"/>
          <w:szCs w:val="24"/>
          <w:shd w:val="clear" w:color="auto" w:fill="FFFFFF"/>
        </w:rPr>
        <w:t xml:space="preserve">[documents prepared by Department of Health Office of Professional Misconduct in connection with an ongoing investigation </w:t>
      </w:r>
      <w:r w:rsidR="00B54EB6" w:rsidRPr="006E2046">
        <w:rPr>
          <w:rFonts w:ascii="Times New Roman" w:hAnsi="Times New Roman" w:cs="Times New Roman"/>
          <w:sz w:val="24"/>
          <w:szCs w:val="24"/>
          <w:shd w:val="clear" w:color="auto" w:fill="FFFFFF"/>
        </w:rPr>
        <w:t xml:space="preserve">of a physician’s alleged incompetence </w:t>
      </w:r>
      <w:r w:rsidR="00E23746" w:rsidRPr="006E2046">
        <w:rPr>
          <w:rFonts w:ascii="Times New Roman" w:hAnsi="Times New Roman" w:cs="Times New Roman"/>
          <w:sz w:val="24"/>
          <w:szCs w:val="24"/>
          <w:shd w:val="clear" w:color="auto" w:fill="FFFFFF"/>
        </w:rPr>
        <w:t>not admissible as they were neither certificates nor affidavits]</w:t>
      </w:r>
      <w:r w:rsidR="00D42B12" w:rsidRPr="006E2046">
        <w:rPr>
          <w:rFonts w:ascii="Times New Roman" w:hAnsi="Times New Roman" w:cs="Times New Roman"/>
          <w:sz w:val="24"/>
          <w:szCs w:val="24"/>
          <w:shd w:val="clear" w:color="auto" w:fill="FFFFFF"/>
        </w:rPr>
        <w:t>.</w:t>
      </w:r>
      <w:r w:rsidR="00B54EB6" w:rsidRPr="006E2046">
        <w:rPr>
          <w:rFonts w:ascii="Times New Roman" w:hAnsi="Times New Roman" w:cs="Times New Roman"/>
          <w:sz w:val="24"/>
          <w:szCs w:val="24"/>
        </w:rPr>
        <w:t xml:space="preserve">) </w:t>
      </w:r>
      <w:r w:rsidR="00E23746" w:rsidRPr="006E2046">
        <w:rPr>
          <w:rFonts w:ascii="Times New Roman" w:hAnsi="Times New Roman" w:cs="Times New Roman"/>
          <w:sz w:val="24"/>
          <w:szCs w:val="24"/>
          <w:shd w:val="clear" w:color="auto" w:fill="FFFFFF"/>
        </w:rPr>
        <w:t>As commentators</w:t>
      </w:r>
      <w:r w:rsidR="00C461F6" w:rsidRPr="006E2046">
        <w:rPr>
          <w:rFonts w:ascii="Times New Roman" w:hAnsi="Times New Roman" w:cs="Times New Roman"/>
          <w:sz w:val="24"/>
          <w:szCs w:val="24"/>
          <w:shd w:val="clear" w:color="auto" w:fill="FFFFFF"/>
        </w:rPr>
        <w:t xml:space="preserve"> have noted</w:t>
      </w:r>
      <w:r w:rsidR="00920F8A" w:rsidRPr="006E2046">
        <w:rPr>
          <w:rFonts w:ascii="Times New Roman" w:hAnsi="Times New Roman" w:cs="Times New Roman"/>
          <w:sz w:val="24"/>
          <w:szCs w:val="24"/>
          <w:shd w:val="clear" w:color="auto" w:fill="FFFFFF"/>
        </w:rPr>
        <w:t>,</w:t>
      </w:r>
      <w:r w:rsidR="00E23746" w:rsidRPr="006E2046">
        <w:rPr>
          <w:rFonts w:ascii="Times New Roman" w:hAnsi="Times New Roman" w:cs="Times New Roman"/>
          <w:sz w:val="24"/>
          <w:szCs w:val="24"/>
          <w:shd w:val="clear" w:color="auto" w:fill="FFFFFF"/>
        </w:rPr>
        <w:t xml:space="preserve"> only a few types of public records or documents have been determined by the </w:t>
      </w:r>
      <w:r w:rsidR="00D42B12" w:rsidRPr="006E2046">
        <w:rPr>
          <w:rFonts w:ascii="Times New Roman" w:hAnsi="Times New Roman" w:cs="Times New Roman"/>
          <w:sz w:val="24"/>
          <w:szCs w:val="24"/>
          <w:shd w:val="clear" w:color="auto" w:fill="FFFFFF"/>
        </w:rPr>
        <w:t>c</w:t>
      </w:r>
      <w:r w:rsidR="00E23746" w:rsidRPr="006E2046">
        <w:rPr>
          <w:rFonts w:ascii="Times New Roman" w:hAnsi="Times New Roman" w:cs="Times New Roman"/>
          <w:sz w:val="24"/>
          <w:szCs w:val="24"/>
          <w:shd w:val="clear" w:color="auto" w:fill="FFFFFF"/>
        </w:rPr>
        <w:t xml:space="preserve">ourts to meet all of the </w:t>
      </w:r>
      <w:r w:rsidR="00C461F6" w:rsidRPr="006E2046">
        <w:rPr>
          <w:rFonts w:ascii="Times New Roman" w:hAnsi="Times New Roman" w:cs="Times New Roman"/>
          <w:sz w:val="24"/>
          <w:szCs w:val="24"/>
          <w:shd w:val="clear" w:color="auto" w:fill="FFFFFF"/>
        </w:rPr>
        <w:t xml:space="preserve">CPLR 4520 </w:t>
      </w:r>
      <w:r w:rsidR="00E23746" w:rsidRPr="006E2046">
        <w:rPr>
          <w:rFonts w:ascii="Times New Roman" w:hAnsi="Times New Roman" w:cs="Times New Roman"/>
          <w:sz w:val="24"/>
          <w:szCs w:val="24"/>
          <w:shd w:val="clear" w:color="auto" w:fill="FFFFFF"/>
        </w:rPr>
        <w:t>requirements</w:t>
      </w:r>
      <w:r w:rsidR="006859A4" w:rsidRPr="006E2046">
        <w:rPr>
          <w:rFonts w:ascii="Times New Roman" w:hAnsi="Times New Roman" w:cs="Times New Roman"/>
          <w:sz w:val="24"/>
          <w:szCs w:val="24"/>
          <w:shd w:val="clear" w:color="auto" w:fill="FFFFFF"/>
        </w:rPr>
        <w:t>.</w:t>
      </w:r>
      <w:r w:rsidR="00E23746" w:rsidRPr="006E2046">
        <w:rPr>
          <w:rFonts w:ascii="Times New Roman" w:hAnsi="Times New Roman" w:cs="Times New Roman"/>
          <w:sz w:val="24"/>
          <w:szCs w:val="24"/>
          <w:shd w:val="clear" w:color="auto" w:fill="FFFFFF"/>
        </w:rPr>
        <w:t xml:space="preserve"> (</w:t>
      </w:r>
      <w:r w:rsidR="00E23746" w:rsidRPr="006E2046">
        <w:rPr>
          <w:rFonts w:ascii="Times New Roman" w:hAnsi="Times New Roman" w:cs="Times New Roman"/>
          <w:i/>
          <w:sz w:val="24"/>
          <w:szCs w:val="24"/>
          <w:shd w:val="clear" w:color="auto" w:fill="FFFFFF"/>
        </w:rPr>
        <w:t>See</w:t>
      </w:r>
      <w:r w:rsidR="000C5400" w:rsidRPr="006E2046">
        <w:rPr>
          <w:rFonts w:ascii="Times New Roman" w:hAnsi="Times New Roman" w:cs="Times New Roman"/>
          <w:sz w:val="24"/>
          <w:szCs w:val="24"/>
          <w:shd w:val="clear" w:color="auto" w:fill="FFFFFF"/>
        </w:rPr>
        <w:t xml:space="preserve"> </w:t>
      </w:r>
      <w:r w:rsidR="00E23746" w:rsidRPr="006E2046">
        <w:rPr>
          <w:rFonts w:ascii="Times New Roman" w:hAnsi="Times New Roman" w:cs="Times New Roman"/>
          <w:sz w:val="24"/>
          <w:szCs w:val="24"/>
          <w:shd w:val="clear" w:color="auto" w:fill="FFFFFF"/>
        </w:rPr>
        <w:t xml:space="preserve">Vincent C. Alexander, Prac Commentaries, McKinney’s Cons Laws of NY, Book 7B, </w:t>
      </w:r>
      <w:r w:rsidR="00E23746" w:rsidRPr="006E2046">
        <w:rPr>
          <w:rFonts w:ascii="Times New Roman" w:hAnsi="Times New Roman" w:cs="Times New Roman"/>
          <w:bCs/>
          <w:sz w:val="24"/>
          <w:szCs w:val="24"/>
          <w:shd w:val="clear" w:color="auto" w:fill="FFFFFF"/>
        </w:rPr>
        <w:t xml:space="preserve">C4520:1; Michael Martin </w:t>
      </w:r>
      <w:r w:rsidR="006859A4" w:rsidRPr="006E2046">
        <w:rPr>
          <w:rFonts w:ascii="Times New Roman" w:hAnsi="Times New Roman" w:cs="Times New Roman"/>
          <w:bCs/>
          <w:sz w:val="24"/>
          <w:szCs w:val="24"/>
          <w:shd w:val="clear" w:color="auto" w:fill="FFFFFF"/>
        </w:rPr>
        <w:t>&amp;</w:t>
      </w:r>
      <w:r w:rsidR="00E23746" w:rsidRPr="006E2046">
        <w:rPr>
          <w:rFonts w:ascii="Times New Roman" w:hAnsi="Times New Roman" w:cs="Times New Roman"/>
          <w:bCs/>
          <w:sz w:val="24"/>
          <w:szCs w:val="24"/>
          <w:shd w:val="clear" w:color="auto" w:fill="FFFFFF"/>
        </w:rPr>
        <w:t xml:space="preserve"> Daniel Capra, N</w:t>
      </w:r>
      <w:r w:rsidR="006859A4" w:rsidRPr="006E2046">
        <w:rPr>
          <w:rFonts w:ascii="Times New Roman" w:hAnsi="Times New Roman" w:cs="Times New Roman"/>
          <w:bCs/>
          <w:sz w:val="24"/>
          <w:szCs w:val="24"/>
          <w:shd w:val="clear" w:color="auto" w:fill="FFFFFF"/>
        </w:rPr>
        <w:t xml:space="preserve">ew </w:t>
      </w:r>
      <w:r w:rsidR="00E23746" w:rsidRPr="006E2046">
        <w:rPr>
          <w:rFonts w:ascii="Times New Roman" w:hAnsi="Times New Roman" w:cs="Times New Roman"/>
          <w:bCs/>
          <w:sz w:val="24"/>
          <w:szCs w:val="24"/>
          <w:shd w:val="clear" w:color="auto" w:fill="FFFFFF"/>
        </w:rPr>
        <w:t>Y</w:t>
      </w:r>
      <w:r w:rsidR="006859A4" w:rsidRPr="006E2046">
        <w:rPr>
          <w:rFonts w:ascii="Times New Roman" w:hAnsi="Times New Roman" w:cs="Times New Roman"/>
          <w:bCs/>
          <w:sz w:val="24"/>
          <w:szCs w:val="24"/>
          <w:shd w:val="clear" w:color="auto" w:fill="FFFFFF"/>
        </w:rPr>
        <w:t>ork</w:t>
      </w:r>
      <w:r w:rsidR="00E23746" w:rsidRPr="006E2046">
        <w:rPr>
          <w:rFonts w:ascii="Times New Roman" w:hAnsi="Times New Roman" w:cs="Times New Roman"/>
          <w:bCs/>
          <w:sz w:val="24"/>
          <w:szCs w:val="24"/>
          <w:shd w:val="clear" w:color="auto" w:fill="FFFFFF"/>
        </w:rPr>
        <w:t xml:space="preserve"> Evidence Handbook </w:t>
      </w:r>
      <w:r w:rsidR="006859A4" w:rsidRPr="006E2046">
        <w:rPr>
          <w:rFonts w:ascii="Times New Roman" w:eastAsia="Times New Roman" w:hAnsi="Times New Roman" w:cs="Times New Roman"/>
          <w:sz w:val="24"/>
          <w:szCs w:val="24"/>
        </w:rPr>
        <w:t>§</w:t>
      </w:r>
      <w:r w:rsidR="006859A4" w:rsidRPr="006E2046">
        <w:rPr>
          <w:rFonts w:ascii="Times New Roman" w:hAnsi="Times New Roman" w:cs="Times New Roman"/>
          <w:bCs/>
          <w:sz w:val="24"/>
          <w:szCs w:val="24"/>
          <w:shd w:val="clear" w:color="auto" w:fill="FFFFFF"/>
        </w:rPr>
        <w:t xml:space="preserve"> 8.3.3 </w:t>
      </w:r>
      <w:r w:rsidR="00E23746" w:rsidRPr="006E2046">
        <w:rPr>
          <w:rFonts w:ascii="Times New Roman" w:hAnsi="Times New Roman" w:cs="Times New Roman"/>
          <w:bCs/>
          <w:sz w:val="24"/>
          <w:szCs w:val="24"/>
          <w:shd w:val="clear" w:color="auto" w:fill="FFFFFF"/>
        </w:rPr>
        <w:t>[3d ed]</w:t>
      </w:r>
      <w:r w:rsidR="006859A4" w:rsidRPr="006E2046">
        <w:rPr>
          <w:rFonts w:ascii="Times New Roman" w:hAnsi="Times New Roman" w:cs="Times New Roman"/>
          <w:bCs/>
          <w:sz w:val="24"/>
          <w:szCs w:val="24"/>
          <w:shd w:val="clear" w:color="auto" w:fill="FFFFFF"/>
        </w:rPr>
        <w:t>.</w:t>
      </w:r>
      <w:r w:rsidR="00E23746" w:rsidRPr="006E2046">
        <w:rPr>
          <w:rFonts w:ascii="Times New Roman" w:hAnsi="Times New Roman" w:cs="Times New Roman"/>
          <w:bCs/>
          <w:sz w:val="24"/>
          <w:szCs w:val="24"/>
          <w:shd w:val="clear" w:color="auto" w:fill="FFFFFF"/>
        </w:rPr>
        <w:t>)</w:t>
      </w:r>
      <w:r w:rsidR="00F914E3" w:rsidRPr="006E2046">
        <w:rPr>
          <w:rFonts w:ascii="Times New Roman" w:hAnsi="Times New Roman" w:cs="Times New Roman"/>
          <w:sz w:val="24"/>
          <w:szCs w:val="24"/>
          <w:shd w:val="clear" w:color="auto" w:fill="FFFFFF"/>
        </w:rPr>
        <w:t xml:space="preserve"> </w:t>
      </w:r>
    </w:p>
    <w:p w14:paraId="336521FD" w14:textId="77777777" w:rsidR="00E64D08" w:rsidRPr="006E2046" w:rsidRDefault="00E64D08" w:rsidP="000D7330">
      <w:pPr>
        <w:spacing w:after="0" w:line="276" w:lineRule="auto"/>
        <w:jc w:val="both"/>
        <w:rPr>
          <w:rFonts w:ascii="Times New Roman" w:hAnsi="Times New Roman" w:cs="Times New Roman"/>
          <w:sz w:val="24"/>
          <w:szCs w:val="24"/>
        </w:rPr>
      </w:pPr>
    </w:p>
    <w:p w14:paraId="06BD1178" w14:textId="700E7F78" w:rsidR="00E23746" w:rsidRPr="006E2046" w:rsidRDefault="00E23746" w:rsidP="000D7330">
      <w:pPr>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t>Admissibility of a document or record under the rule does not satisfy authentication requirements</w:t>
      </w:r>
      <w:r w:rsidR="00F914E3" w:rsidRPr="006E2046">
        <w:rPr>
          <w:rFonts w:ascii="Times New Roman" w:hAnsi="Times New Roman" w:cs="Times New Roman"/>
          <w:sz w:val="24"/>
          <w:szCs w:val="24"/>
        </w:rPr>
        <w:t xml:space="preserve">. </w:t>
      </w:r>
      <w:r w:rsidRPr="006E2046">
        <w:rPr>
          <w:rFonts w:ascii="Times New Roman" w:hAnsi="Times New Roman" w:cs="Times New Roman"/>
          <w:sz w:val="24"/>
          <w:szCs w:val="24"/>
          <w:shd w:val="clear" w:color="auto" w:fill="FFFFFF"/>
        </w:rPr>
        <w:t>Where the original of the certificate or affidavit is proffered, the authentication requirement will be deemed satisfied pursuant to CPLR 4540</w:t>
      </w:r>
      <w:r w:rsidR="005F06EA"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(a)</w:t>
      </w:r>
      <w:r w:rsidR="00164CB6"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i/>
          <w:sz w:val="24"/>
          <w:szCs w:val="24"/>
          <w:shd w:val="clear" w:color="auto" w:fill="FFFFFF"/>
        </w:rPr>
        <w:t>See</w:t>
      </w:r>
      <w:r w:rsidRPr="006E2046">
        <w:rPr>
          <w:rFonts w:ascii="Times New Roman" w:hAnsi="Times New Roman" w:cs="Times New Roman"/>
          <w:sz w:val="24"/>
          <w:szCs w:val="24"/>
          <w:shd w:val="clear" w:color="auto" w:fill="FFFFFF"/>
        </w:rPr>
        <w:t xml:space="preserve"> GNYE 9.08; </w:t>
      </w:r>
      <w:r w:rsidRPr="006E2046">
        <w:rPr>
          <w:rFonts w:ascii="Times New Roman" w:hAnsi="Times New Roman" w:cs="Times New Roman"/>
          <w:i/>
          <w:sz w:val="24"/>
          <w:szCs w:val="24"/>
          <w:shd w:val="clear" w:color="auto" w:fill="FFFFFF"/>
        </w:rPr>
        <w:t>People v Sykes</w:t>
      </w:r>
      <w:r w:rsidRPr="006E2046">
        <w:rPr>
          <w:rFonts w:ascii="Times New Roman" w:hAnsi="Times New Roman" w:cs="Times New Roman"/>
          <w:sz w:val="24"/>
          <w:szCs w:val="24"/>
          <w:shd w:val="clear" w:color="auto" w:fill="FFFFFF"/>
        </w:rPr>
        <w:t>, 225 AD2d 1093 [4</w:t>
      </w:r>
      <w:r w:rsidR="005F06EA" w:rsidRPr="006E2046">
        <w:rPr>
          <w:rFonts w:ascii="Times New Roman" w:hAnsi="Times New Roman" w:cs="Times New Roman"/>
          <w:sz w:val="24"/>
          <w:szCs w:val="24"/>
          <w:shd w:val="clear" w:color="auto" w:fill="FFFFFF"/>
        </w:rPr>
        <w:t xml:space="preserve">th </w:t>
      </w:r>
      <w:r w:rsidRPr="006E2046">
        <w:rPr>
          <w:rFonts w:ascii="Times New Roman" w:hAnsi="Times New Roman" w:cs="Times New Roman"/>
          <w:sz w:val="24"/>
          <w:szCs w:val="24"/>
          <w:shd w:val="clear" w:color="auto" w:fill="FFFFFF"/>
        </w:rPr>
        <w:t>Dept 1996]</w:t>
      </w:r>
      <w:r w:rsidR="005F06EA" w:rsidRPr="006E2046">
        <w:rPr>
          <w:rFonts w:ascii="Times New Roman" w:hAnsi="Times New Roman" w:cs="Times New Roman"/>
          <w:sz w:val="24"/>
          <w:szCs w:val="24"/>
          <w:shd w:val="clear" w:color="auto" w:fill="FFFFFF"/>
        </w:rPr>
        <w:t>.</w:t>
      </w:r>
      <w:r w:rsidR="00164CB6" w:rsidRPr="006E2046">
        <w:rPr>
          <w:rFonts w:ascii="Times New Roman" w:hAnsi="Times New Roman" w:cs="Times New Roman"/>
          <w:sz w:val="24"/>
          <w:szCs w:val="24"/>
          <w:shd w:val="clear" w:color="auto" w:fill="FFFFFF"/>
        </w:rPr>
        <w:t>)</w:t>
      </w:r>
      <w:r w:rsidR="00F914E3"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A proffered copy of the certificate or affidavit must comply with the attestation and certification provisions</w:t>
      </w:r>
      <w:r w:rsidR="006A1EFB"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of CPLR 4540</w:t>
      </w:r>
      <w:r w:rsidR="005F06EA"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(a)-(b). Certified copies that meet the requirements of </w:t>
      </w:r>
      <w:hyperlink r:id="rId8" w:history="1">
        <w:r w:rsidRPr="006E2046">
          <w:rPr>
            <w:rStyle w:val="Hyperlink"/>
            <w:rFonts w:ascii="Times New Roman" w:hAnsi="Times New Roman" w:cs="Times New Roman"/>
            <w:color w:val="auto"/>
            <w:sz w:val="24"/>
            <w:szCs w:val="24"/>
            <w:u w:val="none"/>
            <w:bdr w:val="none" w:sz="0" w:space="0" w:color="auto" w:frame="1"/>
            <w:shd w:val="clear" w:color="auto" w:fill="FFFFFF"/>
          </w:rPr>
          <w:t>CPLR 4540</w:t>
        </w:r>
      </w:hyperlink>
      <w:r w:rsidRPr="006E2046">
        <w:rPr>
          <w:rFonts w:ascii="Times New Roman" w:hAnsi="Times New Roman" w:cs="Times New Roman"/>
          <w:sz w:val="24"/>
          <w:szCs w:val="24"/>
          <w:shd w:val="clear" w:color="auto" w:fill="FFFFFF"/>
        </w:rPr>
        <w:t> will also satisfy the best evidence rule</w:t>
      </w:r>
      <w:r w:rsidR="005F06EA"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i/>
          <w:sz w:val="24"/>
          <w:szCs w:val="24"/>
          <w:shd w:val="clear" w:color="auto" w:fill="FFFFFF"/>
        </w:rPr>
        <w:t>See</w:t>
      </w:r>
      <w:r w:rsidR="002A6618" w:rsidRPr="006E2046">
        <w:rPr>
          <w:rFonts w:ascii="Times New Roman" w:hAnsi="Times New Roman" w:cs="Times New Roman"/>
          <w:i/>
          <w:sz w:val="24"/>
          <w:szCs w:val="24"/>
          <w:shd w:val="clear" w:color="auto" w:fill="FFFFFF"/>
        </w:rPr>
        <w:t xml:space="preserve"> </w:t>
      </w:r>
      <w:r w:rsidRPr="006E2046">
        <w:rPr>
          <w:rFonts w:ascii="Times New Roman" w:hAnsi="Times New Roman" w:cs="Times New Roman"/>
          <w:sz w:val="24"/>
          <w:szCs w:val="24"/>
          <w:shd w:val="clear" w:color="auto" w:fill="FFFFFF"/>
        </w:rPr>
        <w:t>GNYE 9.08</w:t>
      </w:r>
      <w:r w:rsidR="005A19A7" w:rsidRPr="006E2046">
        <w:rPr>
          <w:rFonts w:ascii="Times New Roman" w:hAnsi="Times New Roman" w:cs="Times New Roman"/>
          <w:sz w:val="24"/>
          <w:szCs w:val="24"/>
          <w:shd w:val="clear" w:color="auto" w:fill="FFFFFF"/>
        </w:rPr>
        <w:t xml:space="preserve">, </w:t>
      </w:r>
      <w:r w:rsidR="005A19A7" w:rsidRPr="006E2046">
        <w:rPr>
          <w:rFonts w:ascii="Times New Roman" w:hAnsi="Times New Roman" w:cs="Times New Roman"/>
          <w:sz w:val="24"/>
          <w:szCs w:val="24"/>
        </w:rPr>
        <w:t>Self-Authenticating Evidence</w:t>
      </w:r>
      <w:r w:rsidRPr="006E2046">
        <w:rPr>
          <w:rFonts w:ascii="Times New Roman" w:hAnsi="Times New Roman" w:cs="Times New Roman"/>
          <w:iCs/>
          <w:sz w:val="24"/>
          <w:szCs w:val="24"/>
          <w:shd w:val="clear" w:color="auto" w:fill="FFFFFF"/>
        </w:rPr>
        <w:t>;</w:t>
      </w:r>
      <w:r w:rsidRPr="006E2046">
        <w:rPr>
          <w:rFonts w:ascii="Times New Roman" w:hAnsi="Times New Roman" w:cs="Times New Roman"/>
          <w:i/>
          <w:sz w:val="24"/>
          <w:szCs w:val="24"/>
          <w:shd w:val="clear" w:color="auto" w:fill="FFFFFF"/>
        </w:rPr>
        <w:t xml:space="preserve"> Chanler v Manocherian</w:t>
      </w:r>
      <w:r w:rsidRPr="006E2046">
        <w:rPr>
          <w:rFonts w:ascii="Times New Roman" w:hAnsi="Times New Roman" w:cs="Times New Roman"/>
          <w:sz w:val="24"/>
          <w:szCs w:val="24"/>
          <w:shd w:val="clear" w:color="auto" w:fill="FFFFFF"/>
        </w:rPr>
        <w:t>, 151 AD2d 432, 435 [1</w:t>
      </w:r>
      <w:r w:rsidR="005F06EA" w:rsidRPr="006E2046">
        <w:rPr>
          <w:rFonts w:ascii="Times New Roman" w:hAnsi="Times New Roman" w:cs="Times New Roman"/>
          <w:sz w:val="24"/>
          <w:szCs w:val="24"/>
          <w:shd w:val="clear" w:color="auto" w:fill="FFFFFF"/>
        </w:rPr>
        <w:t xml:space="preserve">st </w:t>
      </w:r>
      <w:r w:rsidRPr="006E2046">
        <w:rPr>
          <w:rFonts w:ascii="Times New Roman" w:hAnsi="Times New Roman" w:cs="Times New Roman"/>
          <w:sz w:val="24"/>
          <w:szCs w:val="24"/>
          <w:shd w:val="clear" w:color="auto" w:fill="FFFFFF"/>
        </w:rPr>
        <w:t>Dept 1989]</w:t>
      </w:r>
      <w:r w:rsidR="005F06EA" w:rsidRPr="006E2046">
        <w:rPr>
          <w:rFonts w:ascii="Times New Roman" w:hAnsi="Times New Roman" w:cs="Times New Roman"/>
          <w:sz w:val="24"/>
          <w:szCs w:val="24"/>
          <w:shd w:val="clear" w:color="auto" w:fill="FFFFFF"/>
        </w:rPr>
        <w:t>.</w:t>
      </w:r>
      <w:r w:rsidR="006A1EFB" w:rsidRPr="006E2046">
        <w:rPr>
          <w:rFonts w:ascii="Times New Roman" w:hAnsi="Times New Roman" w:cs="Times New Roman"/>
          <w:sz w:val="24"/>
          <w:szCs w:val="24"/>
          <w:shd w:val="clear" w:color="auto" w:fill="FFFFFF"/>
        </w:rPr>
        <w:t>)</w:t>
      </w:r>
    </w:p>
    <w:p w14:paraId="7EB3AB33" w14:textId="77777777" w:rsidR="00E64D08" w:rsidRPr="006E2046" w:rsidRDefault="00E64D08" w:rsidP="000D7330">
      <w:pPr>
        <w:spacing w:after="0" w:line="276" w:lineRule="auto"/>
        <w:jc w:val="both"/>
        <w:rPr>
          <w:rFonts w:ascii="Times New Roman" w:hAnsi="Times New Roman" w:cs="Times New Roman"/>
          <w:sz w:val="24"/>
          <w:szCs w:val="24"/>
        </w:rPr>
      </w:pPr>
    </w:p>
    <w:p w14:paraId="40FC19A7" w14:textId="18BC9D79" w:rsidR="00744EBB" w:rsidRPr="006E2046" w:rsidRDefault="00726C39" w:rsidP="000D7330">
      <w:pPr>
        <w:spacing w:after="0" w:line="276" w:lineRule="auto"/>
        <w:jc w:val="center"/>
        <w:rPr>
          <w:rFonts w:ascii="Times New Roman" w:hAnsi="Times New Roman" w:cs="Times New Roman"/>
          <w:b/>
          <w:bCs/>
          <w:sz w:val="24"/>
          <w:szCs w:val="24"/>
        </w:rPr>
      </w:pPr>
      <w:r w:rsidRPr="006E2046">
        <w:rPr>
          <w:rFonts w:ascii="Times New Roman" w:hAnsi="Times New Roman" w:cs="Times New Roman"/>
          <w:b/>
          <w:bCs/>
          <w:sz w:val="24"/>
          <w:szCs w:val="24"/>
        </w:rPr>
        <w:t>Common Law</w:t>
      </w:r>
    </w:p>
    <w:p w14:paraId="384DA34D" w14:textId="77777777" w:rsidR="00E64D08" w:rsidRPr="006E2046" w:rsidRDefault="00E64D08" w:rsidP="000D7330">
      <w:pPr>
        <w:spacing w:after="0" w:line="276" w:lineRule="auto"/>
        <w:rPr>
          <w:rFonts w:ascii="Times New Roman" w:hAnsi="Times New Roman" w:cs="Times New Roman"/>
          <w:sz w:val="24"/>
          <w:szCs w:val="24"/>
        </w:rPr>
      </w:pPr>
    </w:p>
    <w:p w14:paraId="2F2FE195" w14:textId="255D673C" w:rsidR="008C1E31" w:rsidRPr="006E2046" w:rsidRDefault="00EC7D5C" w:rsidP="000D7330">
      <w:pPr>
        <w:shd w:val="clear" w:color="auto" w:fill="FFFFFF"/>
        <w:spacing w:after="0" w:line="276" w:lineRule="auto"/>
        <w:jc w:val="both"/>
        <w:rPr>
          <w:rFonts w:ascii="Times New Roman" w:eastAsia="Times New Roman" w:hAnsi="Times New Roman" w:cs="Times New Roman"/>
          <w:sz w:val="24"/>
          <w:szCs w:val="24"/>
          <w:bdr w:val="none" w:sz="0" w:space="0" w:color="auto" w:frame="1"/>
          <w:shd w:val="clear" w:color="auto" w:fill="FFFFFF"/>
        </w:rPr>
      </w:pPr>
      <w:r w:rsidRPr="006E2046">
        <w:rPr>
          <w:rFonts w:ascii="Times New Roman" w:eastAsia="Times New Roman" w:hAnsi="Times New Roman" w:cs="Times New Roman"/>
          <w:sz w:val="24"/>
          <w:szCs w:val="24"/>
          <w:bdr w:val="none" w:sz="0" w:space="0" w:color="auto" w:frame="1"/>
          <w:shd w:val="clear" w:color="auto" w:fill="FFFFFF"/>
        </w:rPr>
        <w:tab/>
      </w:r>
      <w:r w:rsidR="00667841" w:rsidRPr="006E2046">
        <w:rPr>
          <w:rFonts w:ascii="Times New Roman" w:eastAsia="Times New Roman" w:hAnsi="Times New Roman" w:cs="Times New Roman"/>
          <w:b/>
          <w:bCs/>
          <w:sz w:val="24"/>
          <w:szCs w:val="24"/>
          <w:bdr w:val="none" w:sz="0" w:space="0" w:color="auto" w:frame="1"/>
          <w:shd w:val="clear" w:color="auto" w:fill="FFFFFF"/>
        </w:rPr>
        <w:t>Part</w:t>
      </w:r>
      <w:r w:rsidR="003C0B96" w:rsidRPr="006E2046">
        <w:rPr>
          <w:rFonts w:ascii="Times New Roman" w:eastAsia="Times New Roman" w:hAnsi="Times New Roman" w:cs="Times New Roman"/>
          <w:b/>
          <w:bCs/>
          <w:sz w:val="24"/>
          <w:szCs w:val="24"/>
          <w:bdr w:val="none" w:sz="0" w:space="0" w:color="auto" w:frame="1"/>
          <w:shd w:val="clear" w:color="auto" w:fill="FFFFFF"/>
        </w:rPr>
        <w:t xml:space="preserve"> (</w:t>
      </w:r>
      <w:r w:rsidR="00667841" w:rsidRPr="006E2046">
        <w:rPr>
          <w:rFonts w:ascii="Times New Roman" w:eastAsia="Times New Roman" w:hAnsi="Times New Roman" w:cs="Times New Roman"/>
          <w:b/>
          <w:bCs/>
          <w:sz w:val="24"/>
          <w:szCs w:val="24"/>
          <w:bdr w:val="none" w:sz="0" w:space="0" w:color="auto" w:frame="1"/>
          <w:shd w:val="clear" w:color="auto" w:fill="FFFFFF"/>
        </w:rPr>
        <w:t>II</w:t>
      </w:r>
      <w:r w:rsidR="003C0B96" w:rsidRPr="006E2046">
        <w:rPr>
          <w:rFonts w:ascii="Times New Roman" w:eastAsia="Times New Roman" w:hAnsi="Times New Roman" w:cs="Times New Roman"/>
          <w:b/>
          <w:bCs/>
          <w:sz w:val="24"/>
          <w:szCs w:val="24"/>
          <w:bdr w:val="none" w:sz="0" w:space="0" w:color="auto" w:frame="1"/>
          <w:shd w:val="clear" w:color="auto" w:fill="FFFFFF"/>
        </w:rPr>
        <w:t>)</w:t>
      </w:r>
      <w:r w:rsidR="008154F1" w:rsidRPr="006E2046">
        <w:rPr>
          <w:rFonts w:ascii="Times New Roman" w:eastAsia="Times New Roman" w:hAnsi="Times New Roman" w:cs="Times New Roman"/>
          <w:b/>
          <w:bCs/>
          <w:sz w:val="24"/>
          <w:szCs w:val="24"/>
          <w:bdr w:val="none" w:sz="0" w:space="0" w:color="auto" w:frame="1"/>
          <w:shd w:val="clear" w:color="auto" w:fill="FFFFFF"/>
        </w:rPr>
        <w:t xml:space="preserve"> </w:t>
      </w:r>
      <w:r w:rsidR="00FC33D8" w:rsidRPr="006E2046">
        <w:rPr>
          <w:rFonts w:ascii="Times New Roman" w:eastAsia="Times New Roman" w:hAnsi="Times New Roman" w:cs="Times New Roman"/>
          <w:sz w:val="24"/>
          <w:szCs w:val="24"/>
          <w:bdr w:val="none" w:sz="0" w:space="0" w:color="auto" w:frame="1"/>
          <w:shd w:val="clear" w:color="auto" w:fill="FFFFFF"/>
        </w:rPr>
        <w:t>sets forth</w:t>
      </w:r>
      <w:r w:rsidR="00DE1F26" w:rsidRPr="006E2046">
        <w:rPr>
          <w:rFonts w:ascii="Times New Roman" w:eastAsia="Times New Roman" w:hAnsi="Times New Roman" w:cs="Times New Roman"/>
          <w:sz w:val="24"/>
          <w:szCs w:val="24"/>
          <w:bdr w:val="none" w:sz="0" w:space="0" w:color="auto" w:frame="1"/>
          <w:shd w:val="clear" w:color="auto" w:fill="FFFFFF"/>
        </w:rPr>
        <w:t xml:space="preserve"> the common</w:t>
      </w:r>
      <w:r w:rsidR="00B8743D" w:rsidRPr="006E2046">
        <w:rPr>
          <w:rFonts w:ascii="Times New Roman" w:eastAsia="Times New Roman" w:hAnsi="Times New Roman" w:cs="Times New Roman"/>
          <w:sz w:val="24"/>
          <w:szCs w:val="24"/>
          <w:bdr w:val="none" w:sz="0" w:space="0" w:color="auto" w:frame="1"/>
          <w:shd w:val="clear" w:color="auto" w:fill="FFFFFF"/>
        </w:rPr>
        <w:t>-</w:t>
      </w:r>
      <w:r w:rsidR="00DE1F26" w:rsidRPr="006E2046">
        <w:rPr>
          <w:rFonts w:ascii="Times New Roman" w:eastAsia="Times New Roman" w:hAnsi="Times New Roman" w:cs="Times New Roman"/>
          <w:sz w:val="24"/>
          <w:szCs w:val="24"/>
          <w:bdr w:val="none" w:sz="0" w:space="0" w:color="auto" w:frame="1"/>
          <w:shd w:val="clear" w:color="auto" w:fill="FFFFFF"/>
        </w:rPr>
        <w:t>law rule</w:t>
      </w:r>
      <w:r w:rsidR="00FC33D8" w:rsidRPr="006E2046">
        <w:rPr>
          <w:rFonts w:ascii="Times New Roman" w:eastAsia="Times New Roman" w:hAnsi="Times New Roman" w:cs="Times New Roman"/>
          <w:sz w:val="24"/>
          <w:szCs w:val="24"/>
          <w:bdr w:val="none" w:sz="0" w:space="0" w:color="auto" w:frame="1"/>
          <w:shd w:val="clear" w:color="auto" w:fill="FFFFFF"/>
        </w:rPr>
        <w:t xml:space="preserve"> </w:t>
      </w:r>
      <w:r w:rsidR="00FC33D8" w:rsidRPr="006E2046">
        <w:rPr>
          <w:rFonts w:ascii="Times New Roman" w:hAnsi="Times New Roman" w:cs="Times New Roman"/>
          <w:sz w:val="24"/>
          <w:szCs w:val="24"/>
        </w:rPr>
        <w:t xml:space="preserve">for the admission of a public record or document as recognized by the courts. </w:t>
      </w:r>
      <w:r w:rsidR="00D57E39" w:rsidRPr="006E2046">
        <w:rPr>
          <w:rFonts w:ascii="Times New Roman" w:hAnsi="Times New Roman" w:cs="Times New Roman"/>
          <w:sz w:val="24"/>
          <w:szCs w:val="24"/>
        </w:rPr>
        <w:t>The</w:t>
      </w:r>
      <w:r w:rsidR="00983906" w:rsidRPr="006E2046">
        <w:rPr>
          <w:rFonts w:ascii="Times New Roman" w:hAnsi="Times New Roman" w:cs="Times New Roman"/>
          <w:sz w:val="24"/>
          <w:szCs w:val="24"/>
        </w:rPr>
        <w:t xml:space="preserve"> common</w:t>
      </w:r>
      <w:r w:rsidR="00B8743D" w:rsidRPr="006E2046">
        <w:rPr>
          <w:rFonts w:ascii="Times New Roman" w:hAnsi="Times New Roman" w:cs="Times New Roman"/>
          <w:sz w:val="24"/>
          <w:szCs w:val="24"/>
        </w:rPr>
        <w:t>-</w:t>
      </w:r>
      <w:r w:rsidR="00983906" w:rsidRPr="006E2046">
        <w:rPr>
          <w:rFonts w:ascii="Times New Roman" w:hAnsi="Times New Roman" w:cs="Times New Roman"/>
          <w:sz w:val="24"/>
          <w:szCs w:val="24"/>
        </w:rPr>
        <w:t>law rule is</w:t>
      </w:r>
      <w:r w:rsidR="00FC33D8" w:rsidRPr="006E2046">
        <w:rPr>
          <w:rFonts w:ascii="Times New Roman" w:hAnsi="Times New Roman" w:cs="Times New Roman"/>
          <w:sz w:val="24"/>
          <w:szCs w:val="24"/>
        </w:rPr>
        <w:t xml:space="preserve"> broader in scope than CPLR 4520 or the specific statutory exceptions. The common</w:t>
      </w:r>
      <w:r w:rsidR="00B8743D" w:rsidRPr="006E2046">
        <w:rPr>
          <w:rFonts w:ascii="Times New Roman" w:hAnsi="Times New Roman" w:cs="Times New Roman"/>
          <w:sz w:val="24"/>
          <w:szCs w:val="24"/>
        </w:rPr>
        <w:t>-</w:t>
      </w:r>
      <w:r w:rsidR="00FC33D8" w:rsidRPr="006E2046">
        <w:rPr>
          <w:rFonts w:ascii="Times New Roman" w:hAnsi="Times New Roman" w:cs="Times New Roman"/>
          <w:sz w:val="24"/>
          <w:szCs w:val="24"/>
        </w:rPr>
        <w:t xml:space="preserve">law rule </w:t>
      </w:r>
      <w:r w:rsidR="00EA726C" w:rsidRPr="006E2046">
        <w:rPr>
          <w:rFonts w:ascii="Times New Roman" w:hAnsi="Times New Roman" w:cs="Times New Roman"/>
          <w:sz w:val="24"/>
          <w:szCs w:val="24"/>
        </w:rPr>
        <w:t>is</w:t>
      </w:r>
      <w:r w:rsidR="00FC33D8" w:rsidRPr="006E2046">
        <w:rPr>
          <w:rFonts w:ascii="Times New Roman" w:hAnsi="Times New Roman" w:cs="Times New Roman"/>
          <w:sz w:val="24"/>
          <w:szCs w:val="24"/>
        </w:rPr>
        <w:t xml:space="preserve"> not superseded by CPLR 4520 (</w:t>
      </w:r>
      <w:r w:rsidR="00FC33D8" w:rsidRPr="006E2046">
        <w:rPr>
          <w:rFonts w:ascii="Times New Roman" w:eastAsia="Times New Roman" w:hAnsi="Times New Roman" w:cs="Times New Roman"/>
          <w:i/>
          <w:iCs/>
          <w:sz w:val="24"/>
          <w:szCs w:val="24"/>
          <w:bdr w:val="none" w:sz="0" w:space="0" w:color="auto" w:frame="1"/>
        </w:rPr>
        <w:t>Consol</w:t>
      </w:r>
      <w:r w:rsidR="00B8743D" w:rsidRPr="006E2046">
        <w:rPr>
          <w:rFonts w:ascii="Times New Roman" w:eastAsia="Times New Roman" w:hAnsi="Times New Roman" w:cs="Times New Roman"/>
          <w:i/>
          <w:iCs/>
          <w:sz w:val="24"/>
          <w:szCs w:val="24"/>
          <w:bdr w:val="none" w:sz="0" w:space="0" w:color="auto" w:frame="1"/>
        </w:rPr>
        <w:t>idated</w:t>
      </w:r>
      <w:r w:rsidR="00FC33D8" w:rsidRPr="006E2046">
        <w:rPr>
          <w:rFonts w:ascii="Times New Roman" w:eastAsia="Times New Roman" w:hAnsi="Times New Roman" w:cs="Times New Roman"/>
          <w:i/>
          <w:iCs/>
          <w:sz w:val="24"/>
          <w:szCs w:val="24"/>
          <w:bdr w:val="none" w:sz="0" w:space="0" w:color="auto" w:frame="1"/>
        </w:rPr>
        <w:t xml:space="preserve"> Midland Corp. v Columbia Pharm</w:t>
      </w:r>
      <w:r w:rsidR="00B8743D" w:rsidRPr="006E2046">
        <w:rPr>
          <w:rFonts w:ascii="Times New Roman" w:eastAsia="Times New Roman" w:hAnsi="Times New Roman" w:cs="Times New Roman"/>
          <w:i/>
          <w:iCs/>
          <w:sz w:val="24"/>
          <w:szCs w:val="24"/>
          <w:bdr w:val="none" w:sz="0" w:space="0" w:color="auto" w:frame="1"/>
        </w:rPr>
        <w:t>aceutical</w:t>
      </w:r>
      <w:r w:rsidR="00FC33D8" w:rsidRPr="006E2046">
        <w:rPr>
          <w:rFonts w:ascii="Times New Roman" w:eastAsia="Times New Roman" w:hAnsi="Times New Roman" w:cs="Times New Roman"/>
          <w:i/>
          <w:iCs/>
          <w:sz w:val="24"/>
          <w:szCs w:val="24"/>
          <w:bdr w:val="none" w:sz="0" w:space="0" w:color="auto" w:frame="1"/>
        </w:rPr>
        <w:t xml:space="preserve"> Corp.</w:t>
      </w:r>
      <w:r w:rsidR="00FC33D8" w:rsidRPr="006E2046">
        <w:rPr>
          <w:rFonts w:ascii="Times New Roman" w:eastAsia="Times New Roman" w:hAnsi="Times New Roman" w:cs="Times New Roman"/>
          <w:sz w:val="24"/>
          <w:szCs w:val="24"/>
        </w:rPr>
        <w:t>, 42 AD2d 601</w:t>
      </w:r>
      <w:r w:rsidR="00B8743D" w:rsidRPr="006E2046">
        <w:rPr>
          <w:rFonts w:ascii="Times New Roman" w:eastAsia="Times New Roman" w:hAnsi="Times New Roman" w:cs="Times New Roman"/>
          <w:sz w:val="24"/>
          <w:szCs w:val="24"/>
        </w:rPr>
        <w:t>, 601</w:t>
      </w:r>
      <w:r w:rsidR="00825633" w:rsidRPr="006E2046">
        <w:rPr>
          <w:rFonts w:ascii="Times New Roman" w:eastAsia="Times New Roman" w:hAnsi="Times New Roman" w:cs="Times New Roman"/>
          <w:sz w:val="24"/>
          <w:szCs w:val="24"/>
        </w:rPr>
        <w:t xml:space="preserve"> </w:t>
      </w:r>
      <w:r w:rsidR="00FC33D8" w:rsidRPr="006E2046">
        <w:rPr>
          <w:rFonts w:ascii="Times New Roman" w:eastAsia="Times New Roman" w:hAnsi="Times New Roman" w:cs="Times New Roman"/>
          <w:sz w:val="24"/>
          <w:szCs w:val="24"/>
        </w:rPr>
        <w:t xml:space="preserve">[2d Dept 1973] [“The common-law rule, which is much broader in scope </w:t>
      </w:r>
      <w:r w:rsidR="006524E8" w:rsidRPr="006E2046">
        <w:rPr>
          <w:rFonts w:ascii="Times New Roman" w:eastAsia="Times New Roman" w:hAnsi="Times New Roman" w:cs="Times New Roman"/>
          <w:sz w:val="24"/>
          <w:szCs w:val="24"/>
        </w:rPr>
        <w:t>(</w:t>
      </w:r>
      <w:r w:rsidR="00FC33D8" w:rsidRPr="006E2046">
        <w:rPr>
          <w:rFonts w:ascii="Times New Roman" w:eastAsia="Times New Roman" w:hAnsi="Times New Roman" w:cs="Times New Roman"/>
          <w:sz w:val="24"/>
          <w:szCs w:val="24"/>
        </w:rPr>
        <w:t>than CPLR 4520</w:t>
      </w:r>
      <w:r w:rsidR="006524E8" w:rsidRPr="006E2046">
        <w:rPr>
          <w:rFonts w:ascii="Times New Roman" w:eastAsia="Times New Roman" w:hAnsi="Times New Roman" w:cs="Times New Roman"/>
          <w:sz w:val="24"/>
          <w:szCs w:val="24"/>
        </w:rPr>
        <w:t>)</w:t>
      </w:r>
      <w:r w:rsidR="00FC33D8" w:rsidRPr="006E2046">
        <w:rPr>
          <w:rFonts w:ascii="Times New Roman" w:eastAsia="Times New Roman" w:hAnsi="Times New Roman" w:cs="Times New Roman"/>
          <w:sz w:val="24"/>
          <w:szCs w:val="24"/>
        </w:rPr>
        <w:t>, has not been superseded by CPLR 4520”]). In fact, CPLR 4543 dictates th</w:t>
      </w:r>
      <w:r w:rsidR="009D7CB9" w:rsidRPr="006E2046">
        <w:rPr>
          <w:rFonts w:ascii="Times New Roman" w:eastAsia="Times New Roman" w:hAnsi="Times New Roman" w:cs="Times New Roman"/>
          <w:sz w:val="24"/>
          <w:szCs w:val="24"/>
        </w:rPr>
        <w:t>at</w:t>
      </w:r>
      <w:r w:rsidR="00FC33D8" w:rsidRPr="006E2046">
        <w:rPr>
          <w:rFonts w:ascii="Times New Roman" w:eastAsia="Times New Roman" w:hAnsi="Times New Roman" w:cs="Times New Roman"/>
          <w:sz w:val="24"/>
          <w:szCs w:val="24"/>
        </w:rPr>
        <w:t xml:space="preserve"> conclusion by its express language: </w:t>
      </w:r>
      <w:r w:rsidR="00FC33D8" w:rsidRPr="006E2046">
        <w:rPr>
          <w:rFonts w:ascii="Times New Roman" w:eastAsia="Times New Roman" w:hAnsi="Times New Roman" w:cs="Times New Roman"/>
          <w:sz w:val="24"/>
          <w:szCs w:val="24"/>
        </w:rPr>
        <w:lastRenderedPageBreak/>
        <w:t>“Nothing in [</w:t>
      </w:r>
      <w:r w:rsidR="00B8743D" w:rsidRPr="006E2046">
        <w:rPr>
          <w:rFonts w:ascii="Times New Roman" w:eastAsia="Times New Roman" w:hAnsi="Times New Roman" w:cs="Times New Roman"/>
          <w:sz w:val="24"/>
          <w:szCs w:val="24"/>
        </w:rPr>
        <w:t>a</w:t>
      </w:r>
      <w:r w:rsidR="00FC33D8" w:rsidRPr="006E2046">
        <w:rPr>
          <w:rFonts w:ascii="Times New Roman" w:eastAsia="Times New Roman" w:hAnsi="Times New Roman" w:cs="Times New Roman"/>
          <w:sz w:val="24"/>
          <w:szCs w:val="24"/>
        </w:rPr>
        <w:t xml:space="preserve">rticle 45] prevents the proof of a fact </w:t>
      </w:r>
      <w:r w:rsidR="00B8743D" w:rsidRPr="006E2046">
        <w:rPr>
          <w:rFonts w:ascii="Times New Roman" w:eastAsia="Times New Roman" w:hAnsi="Times New Roman" w:cs="Times New Roman"/>
          <w:sz w:val="24"/>
          <w:szCs w:val="24"/>
        </w:rPr>
        <w:t xml:space="preserve">or a writing </w:t>
      </w:r>
      <w:r w:rsidR="00FC33D8" w:rsidRPr="006E2046">
        <w:rPr>
          <w:rFonts w:ascii="Times New Roman" w:eastAsia="Times New Roman" w:hAnsi="Times New Roman" w:cs="Times New Roman"/>
          <w:sz w:val="24"/>
          <w:szCs w:val="24"/>
        </w:rPr>
        <w:t>by any method authorized .</w:t>
      </w:r>
      <w:r w:rsidR="00C81311" w:rsidRPr="006E2046">
        <w:rPr>
          <w:rFonts w:ascii="Times New Roman" w:eastAsia="Times New Roman" w:hAnsi="Times New Roman" w:cs="Times New Roman"/>
          <w:sz w:val="24"/>
          <w:szCs w:val="24"/>
        </w:rPr>
        <w:t xml:space="preserve"> . . </w:t>
      </w:r>
      <w:r w:rsidR="00FC33D8" w:rsidRPr="006E2046">
        <w:rPr>
          <w:rFonts w:ascii="Times New Roman" w:eastAsia="Times New Roman" w:hAnsi="Times New Roman" w:cs="Times New Roman"/>
          <w:sz w:val="24"/>
          <w:szCs w:val="24"/>
        </w:rPr>
        <w:t>by the rules of evidence at common law.”</w:t>
      </w:r>
    </w:p>
    <w:p w14:paraId="13CA5C88" w14:textId="77777777" w:rsidR="009B154C" w:rsidRPr="006E2046" w:rsidRDefault="009B154C" w:rsidP="000D7330">
      <w:pPr>
        <w:shd w:val="clear" w:color="auto" w:fill="FFFFFF"/>
        <w:spacing w:after="0" w:line="276" w:lineRule="auto"/>
        <w:jc w:val="both"/>
        <w:rPr>
          <w:rFonts w:ascii="Times New Roman" w:eastAsia="Times New Roman" w:hAnsi="Times New Roman" w:cs="Times New Roman"/>
          <w:sz w:val="24"/>
          <w:szCs w:val="24"/>
          <w:bdr w:val="none" w:sz="0" w:space="0" w:color="auto" w:frame="1"/>
          <w:shd w:val="clear" w:color="auto" w:fill="FFFFFF"/>
        </w:rPr>
      </w:pPr>
    </w:p>
    <w:p w14:paraId="3E6CD465" w14:textId="56009986" w:rsidR="00EC7D5C" w:rsidRPr="006E2046" w:rsidRDefault="00E64D08" w:rsidP="000D7330">
      <w:pPr>
        <w:shd w:val="clear" w:color="auto" w:fill="FFFFFF"/>
        <w:tabs>
          <w:tab w:val="left" w:pos="720"/>
        </w:tabs>
        <w:spacing w:after="0" w:line="276" w:lineRule="auto"/>
        <w:jc w:val="both"/>
        <w:rPr>
          <w:rFonts w:ascii="Times New Roman" w:eastAsia="Times New Roman" w:hAnsi="Times New Roman" w:cs="Times New Roman"/>
          <w:sz w:val="24"/>
          <w:szCs w:val="24"/>
          <w:bdr w:val="none" w:sz="0" w:space="0" w:color="auto" w:frame="1"/>
          <w:shd w:val="clear" w:color="auto" w:fill="FFFFFF"/>
        </w:rPr>
      </w:pPr>
      <w:r w:rsidRPr="006E2046">
        <w:rPr>
          <w:rFonts w:ascii="Times New Roman" w:eastAsia="Times New Roman" w:hAnsi="Times New Roman" w:cs="Times New Roman"/>
          <w:sz w:val="24"/>
          <w:szCs w:val="24"/>
          <w:bdr w:val="none" w:sz="0" w:space="0" w:color="auto" w:frame="1"/>
          <w:shd w:val="clear" w:color="auto" w:fill="FFFFFF"/>
        </w:rPr>
        <w:tab/>
      </w:r>
      <w:r w:rsidR="009B154C" w:rsidRPr="006E2046">
        <w:rPr>
          <w:rFonts w:ascii="Times New Roman" w:eastAsia="Times New Roman" w:hAnsi="Times New Roman" w:cs="Times New Roman"/>
          <w:sz w:val="24"/>
          <w:szCs w:val="24"/>
          <w:bdr w:val="none" w:sz="0" w:space="0" w:color="auto" w:frame="1"/>
          <w:shd w:val="clear" w:color="auto" w:fill="FFFFFF"/>
        </w:rPr>
        <w:t>F</w:t>
      </w:r>
      <w:r w:rsidR="00EC7D5C" w:rsidRPr="006E2046">
        <w:rPr>
          <w:rFonts w:ascii="Times New Roman" w:eastAsia="Times New Roman" w:hAnsi="Times New Roman" w:cs="Times New Roman"/>
          <w:sz w:val="24"/>
          <w:szCs w:val="24"/>
          <w:bdr w:val="none" w:sz="0" w:space="0" w:color="auto" w:frame="1"/>
          <w:shd w:val="clear" w:color="auto" w:fill="FFFFFF"/>
        </w:rPr>
        <w:t>ederal law has long recognized th</w:t>
      </w:r>
      <w:r w:rsidR="00DE1F26" w:rsidRPr="006E2046">
        <w:rPr>
          <w:rFonts w:ascii="Times New Roman" w:eastAsia="Times New Roman" w:hAnsi="Times New Roman" w:cs="Times New Roman"/>
          <w:sz w:val="24"/>
          <w:szCs w:val="24"/>
          <w:bdr w:val="none" w:sz="0" w:space="0" w:color="auto" w:frame="1"/>
          <w:shd w:val="clear" w:color="auto" w:fill="FFFFFF"/>
        </w:rPr>
        <w:t>is</w:t>
      </w:r>
      <w:r w:rsidR="00824D28" w:rsidRPr="006E2046">
        <w:rPr>
          <w:rFonts w:ascii="Times New Roman" w:eastAsia="Times New Roman" w:hAnsi="Times New Roman" w:cs="Times New Roman"/>
          <w:sz w:val="24"/>
          <w:szCs w:val="24"/>
          <w:bdr w:val="none" w:sz="0" w:space="0" w:color="auto" w:frame="1"/>
          <w:shd w:val="clear" w:color="auto" w:fill="FFFFFF"/>
        </w:rPr>
        <w:t xml:space="preserve"> common</w:t>
      </w:r>
      <w:r w:rsidR="00F8787A" w:rsidRPr="006E2046">
        <w:rPr>
          <w:rFonts w:ascii="Times New Roman" w:eastAsia="Times New Roman" w:hAnsi="Times New Roman" w:cs="Times New Roman"/>
          <w:sz w:val="24"/>
          <w:szCs w:val="24"/>
          <w:bdr w:val="none" w:sz="0" w:space="0" w:color="auto" w:frame="1"/>
          <w:shd w:val="clear" w:color="auto" w:fill="FFFFFF"/>
        </w:rPr>
        <w:t>-</w:t>
      </w:r>
      <w:r w:rsidR="00824D28" w:rsidRPr="006E2046">
        <w:rPr>
          <w:rFonts w:ascii="Times New Roman" w:eastAsia="Times New Roman" w:hAnsi="Times New Roman" w:cs="Times New Roman"/>
          <w:sz w:val="24"/>
          <w:szCs w:val="24"/>
          <w:bdr w:val="none" w:sz="0" w:space="0" w:color="auto" w:frame="1"/>
          <w:shd w:val="clear" w:color="auto" w:fill="FFFFFF"/>
        </w:rPr>
        <w:t>law</w:t>
      </w:r>
      <w:r w:rsidR="00EC7D5C" w:rsidRPr="006E2046">
        <w:rPr>
          <w:rFonts w:ascii="Times New Roman" w:eastAsia="Times New Roman" w:hAnsi="Times New Roman" w:cs="Times New Roman"/>
          <w:sz w:val="24"/>
          <w:szCs w:val="24"/>
          <w:bdr w:val="none" w:sz="0" w:space="0" w:color="auto" w:frame="1"/>
          <w:shd w:val="clear" w:color="auto" w:fill="FFFFFF"/>
        </w:rPr>
        <w:t xml:space="preserve"> rule. (</w:t>
      </w:r>
      <w:r w:rsidR="00EC7D5C" w:rsidRPr="006E2046">
        <w:rPr>
          <w:rFonts w:ascii="Times New Roman" w:eastAsia="Times New Roman" w:hAnsi="Times New Roman" w:cs="Times New Roman"/>
          <w:i/>
          <w:iCs/>
          <w:sz w:val="24"/>
          <w:szCs w:val="24"/>
          <w:bdr w:val="none" w:sz="0" w:space="0" w:color="auto" w:frame="1"/>
        </w:rPr>
        <w:t>United States v Percheman</w:t>
      </w:r>
      <w:r w:rsidR="00EC7D5C" w:rsidRPr="006E2046">
        <w:rPr>
          <w:rFonts w:ascii="Times New Roman" w:eastAsia="Times New Roman" w:hAnsi="Times New Roman" w:cs="Times New Roman"/>
          <w:sz w:val="24"/>
          <w:szCs w:val="24"/>
        </w:rPr>
        <w:t xml:space="preserve">, 32 US 51, 85 [1833] [“on general principles of law, a copy </w:t>
      </w:r>
      <w:r w:rsidR="00FB0ABF" w:rsidRPr="006E2046">
        <w:rPr>
          <w:rFonts w:ascii="Times New Roman" w:eastAsia="Times New Roman" w:hAnsi="Times New Roman" w:cs="Times New Roman"/>
          <w:sz w:val="24"/>
          <w:szCs w:val="24"/>
        </w:rPr>
        <w:t>(</w:t>
      </w:r>
      <w:r w:rsidR="00EC7D5C" w:rsidRPr="006E2046">
        <w:rPr>
          <w:rFonts w:ascii="Times New Roman" w:eastAsia="Times New Roman" w:hAnsi="Times New Roman" w:cs="Times New Roman"/>
          <w:sz w:val="24"/>
          <w:szCs w:val="24"/>
        </w:rPr>
        <w:t>of a grant of territory</w:t>
      </w:r>
      <w:r w:rsidR="00FB0ABF" w:rsidRPr="006E2046">
        <w:rPr>
          <w:rFonts w:ascii="Times New Roman" w:eastAsia="Times New Roman" w:hAnsi="Times New Roman" w:cs="Times New Roman"/>
          <w:sz w:val="24"/>
          <w:szCs w:val="24"/>
        </w:rPr>
        <w:t>)</w:t>
      </w:r>
      <w:r w:rsidR="00EC7D5C" w:rsidRPr="006E2046">
        <w:rPr>
          <w:rFonts w:ascii="Times New Roman" w:eastAsia="Times New Roman" w:hAnsi="Times New Roman" w:cs="Times New Roman"/>
          <w:sz w:val="24"/>
          <w:szCs w:val="24"/>
        </w:rPr>
        <w:t xml:space="preserve"> given by a public officer whose duty it is to keep the original, ought to be received in evidence”]; </w:t>
      </w:r>
      <w:r w:rsidR="00EC7D5C" w:rsidRPr="006E2046">
        <w:rPr>
          <w:rFonts w:ascii="Times New Roman" w:eastAsia="Times New Roman" w:hAnsi="Times New Roman" w:cs="Times New Roman"/>
          <w:i/>
          <w:iCs/>
          <w:sz w:val="24"/>
          <w:szCs w:val="24"/>
          <w:bdr w:val="none" w:sz="0" w:space="0" w:color="auto" w:frame="1"/>
        </w:rPr>
        <w:t>Hedrick v Hughes</w:t>
      </w:r>
      <w:r w:rsidR="00EC7D5C" w:rsidRPr="006E2046">
        <w:rPr>
          <w:rFonts w:ascii="Times New Roman" w:eastAsia="Times New Roman" w:hAnsi="Times New Roman" w:cs="Times New Roman"/>
          <w:sz w:val="24"/>
          <w:szCs w:val="24"/>
        </w:rPr>
        <w:t xml:space="preserve">, 82 US 123, 127 [1872] [the book of a school commissioner was admissible to show “his acts as school commissioner in selling the land in question as school lands.” The entry in the book was “made in the course of his official duty” and was a “public record”]; </w:t>
      </w:r>
      <w:r w:rsidR="00EC7D5C" w:rsidRPr="006E2046">
        <w:rPr>
          <w:rFonts w:ascii="Times New Roman" w:eastAsia="Times New Roman" w:hAnsi="Times New Roman" w:cs="Times New Roman"/>
          <w:i/>
          <w:iCs/>
          <w:sz w:val="24"/>
          <w:szCs w:val="24"/>
          <w:bdr w:val="none" w:sz="0" w:space="0" w:color="auto" w:frame="1"/>
        </w:rPr>
        <w:t>Evanston v Gunn</w:t>
      </w:r>
      <w:r w:rsidR="00EC7D5C" w:rsidRPr="006E2046">
        <w:rPr>
          <w:rFonts w:ascii="Times New Roman" w:eastAsia="Times New Roman" w:hAnsi="Times New Roman" w:cs="Times New Roman"/>
          <w:sz w:val="24"/>
          <w:szCs w:val="24"/>
        </w:rPr>
        <w:t>, 99 US 660, 665-</w:t>
      </w:r>
      <w:r w:rsidR="0058537F" w:rsidRPr="006E2046">
        <w:rPr>
          <w:rFonts w:ascii="Times New Roman" w:eastAsia="Times New Roman" w:hAnsi="Times New Roman" w:cs="Times New Roman"/>
          <w:sz w:val="24"/>
          <w:szCs w:val="24"/>
        </w:rPr>
        <w:t>6</w:t>
      </w:r>
      <w:r w:rsidR="00EC7D5C" w:rsidRPr="006E2046">
        <w:rPr>
          <w:rFonts w:ascii="Times New Roman" w:eastAsia="Times New Roman" w:hAnsi="Times New Roman" w:cs="Times New Roman"/>
          <w:sz w:val="24"/>
          <w:szCs w:val="24"/>
        </w:rPr>
        <w:t xml:space="preserve">67 [1878] [records kept by an employee of the United States Signal Service were admissible even though there was no law authorizing the admission of such records. “They </w:t>
      </w:r>
      <w:r w:rsidR="003F5802" w:rsidRPr="006E2046">
        <w:rPr>
          <w:rFonts w:ascii="Times New Roman" w:eastAsia="Times New Roman" w:hAnsi="Times New Roman" w:cs="Times New Roman"/>
          <w:sz w:val="24"/>
          <w:szCs w:val="24"/>
        </w:rPr>
        <w:t>(</w:t>
      </w:r>
      <w:r w:rsidR="00EC7D5C" w:rsidRPr="006E2046">
        <w:rPr>
          <w:rFonts w:ascii="Times New Roman" w:eastAsia="Times New Roman" w:hAnsi="Times New Roman" w:cs="Times New Roman"/>
          <w:sz w:val="24"/>
          <w:szCs w:val="24"/>
        </w:rPr>
        <w:t>the records</w:t>
      </w:r>
      <w:r w:rsidR="003F5802" w:rsidRPr="006E2046">
        <w:rPr>
          <w:rFonts w:ascii="Times New Roman" w:eastAsia="Times New Roman" w:hAnsi="Times New Roman" w:cs="Times New Roman"/>
          <w:sz w:val="24"/>
          <w:szCs w:val="24"/>
        </w:rPr>
        <w:t>)</w:t>
      </w:r>
      <w:r w:rsidR="00EC7D5C" w:rsidRPr="006E2046">
        <w:rPr>
          <w:rFonts w:ascii="Times New Roman" w:eastAsia="Times New Roman" w:hAnsi="Times New Roman" w:cs="Times New Roman"/>
          <w:sz w:val="24"/>
          <w:szCs w:val="24"/>
        </w:rPr>
        <w:t xml:space="preserve"> come . . . within the rule which admits in evidence ‘official registers or records kept by persons in public office in which they required, either by statute or by the nature of their office, to write down particular transactions occurring in the course of their public duties or under their personal observation.’ To entitle them to admission it is not necessary that a statute requires them to be kept. It is sufficient that they are kept in the discharge of a public duty. Nor need they be kept by a public officer himself, if the entries are made under his direction by a person authorized by him” (citations omitted)]; </w:t>
      </w:r>
      <w:r w:rsidR="00EC7D5C" w:rsidRPr="006E2046">
        <w:rPr>
          <w:rFonts w:ascii="Times New Roman" w:eastAsia="Times New Roman" w:hAnsi="Times New Roman" w:cs="Times New Roman"/>
          <w:i/>
          <w:iCs/>
          <w:sz w:val="24"/>
          <w:szCs w:val="24"/>
          <w:bdr w:val="none" w:sz="0" w:space="0" w:color="auto" w:frame="1"/>
        </w:rPr>
        <w:t>Chesapeake &amp; Delaware Canal Co. v United States</w:t>
      </w:r>
      <w:r w:rsidR="00EC7D5C" w:rsidRPr="006E2046">
        <w:rPr>
          <w:rFonts w:ascii="Times New Roman" w:eastAsia="Times New Roman" w:hAnsi="Times New Roman" w:cs="Times New Roman"/>
          <w:sz w:val="24"/>
          <w:szCs w:val="24"/>
        </w:rPr>
        <w:t>, 240 F 903, 907 [3d Cir 1917] [“when a public officer is required, either by statute or by the nature of his duty, to keep records of transactions occurring in the course of his public service, the records thus made, either by the officer himself or under his supervision, are ordinarily admissible”]</w:t>
      </w:r>
      <w:r w:rsidR="0058537F" w:rsidRPr="006E2046">
        <w:rPr>
          <w:rFonts w:ascii="Times New Roman" w:eastAsia="Times New Roman" w:hAnsi="Times New Roman" w:cs="Times New Roman"/>
          <w:sz w:val="24"/>
          <w:szCs w:val="24"/>
        </w:rPr>
        <w:t xml:space="preserve">, </w:t>
      </w:r>
      <w:r w:rsidR="0058537F" w:rsidRPr="006E2046">
        <w:rPr>
          <w:rFonts w:ascii="Times New Roman" w:eastAsia="Times New Roman" w:hAnsi="Times New Roman" w:cs="Times New Roman"/>
          <w:i/>
          <w:iCs/>
          <w:sz w:val="24"/>
          <w:szCs w:val="24"/>
          <w:bdr w:val="none" w:sz="0" w:space="0" w:color="auto" w:frame="1"/>
        </w:rPr>
        <w:t>affd</w:t>
      </w:r>
      <w:r w:rsidR="0058537F" w:rsidRPr="006E2046">
        <w:rPr>
          <w:rFonts w:ascii="Times New Roman" w:eastAsia="Times New Roman" w:hAnsi="Times New Roman" w:cs="Times New Roman"/>
          <w:sz w:val="24"/>
          <w:szCs w:val="24"/>
        </w:rPr>
        <w:t xml:space="preserve"> 250 US 123 [1919]</w:t>
      </w:r>
      <w:r w:rsidR="00EC7D5C" w:rsidRPr="006E2046">
        <w:rPr>
          <w:rFonts w:ascii="Times New Roman" w:eastAsia="Times New Roman" w:hAnsi="Times New Roman" w:cs="Times New Roman"/>
          <w:sz w:val="24"/>
          <w:szCs w:val="24"/>
        </w:rPr>
        <w:t xml:space="preserve">; </w:t>
      </w:r>
      <w:r w:rsidR="00EC7D5C" w:rsidRPr="006E2046">
        <w:rPr>
          <w:rFonts w:ascii="Times New Roman" w:eastAsia="Times New Roman" w:hAnsi="Times New Roman" w:cs="Times New Roman"/>
          <w:i/>
          <w:iCs/>
          <w:sz w:val="24"/>
          <w:szCs w:val="24"/>
          <w:bdr w:val="none" w:sz="0" w:space="0" w:color="auto" w:frame="1"/>
        </w:rPr>
        <w:t>Olender v United States</w:t>
      </w:r>
      <w:r w:rsidR="00EC7D5C" w:rsidRPr="006E2046">
        <w:rPr>
          <w:rFonts w:ascii="Times New Roman" w:eastAsia="Times New Roman" w:hAnsi="Times New Roman" w:cs="Times New Roman"/>
          <w:sz w:val="24"/>
          <w:szCs w:val="24"/>
        </w:rPr>
        <w:t>, 210 F2d 795, 801 [9th Cir 1954]</w:t>
      </w:r>
      <w:r w:rsidR="0058537F" w:rsidRPr="006E2046">
        <w:rPr>
          <w:rFonts w:ascii="Times New Roman" w:eastAsia="Times New Roman" w:hAnsi="Times New Roman" w:cs="Times New Roman"/>
          <w:sz w:val="24"/>
          <w:szCs w:val="24"/>
        </w:rPr>
        <w:t xml:space="preserve"> </w:t>
      </w:r>
      <w:r w:rsidR="00EC7D5C" w:rsidRPr="006E2046">
        <w:rPr>
          <w:rFonts w:ascii="Times New Roman" w:eastAsia="Times New Roman" w:hAnsi="Times New Roman" w:cs="Times New Roman"/>
          <w:sz w:val="24"/>
          <w:szCs w:val="24"/>
        </w:rPr>
        <w:t>[the facts stated in the document must have been within the personal knowledge and observation of the recording official or his subordinates]</w:t>
      </w:r>
      <w:r w:rsidR="0058537F" w:rsidRPr="006E2046">
        <w:rPr>
          <w:rFonts w:ascii="Times New Roman" w:eastAsia="Times New Roman" w:hAnsi="Times New Roman" w:cs="Times New Roman"/>
          <w:sz w:val="24"/>
          <w:szCs w:val="24"/>
        </w:rPr>
        <w:t>.</w:t>
      </w:r>
      <w:r w:rsidR="00EC7D5C" w:rsidRPr="006E2046">
        <w:rPr>
          <w:rFonts w:ascii="Times New Roman" w:eastAsia="Times New Roman" w:hAnsi="Times New Roman" w:cs="Times New Roman"/>
          <w:sz w:val="24"/>
          <w:szCs w:val="24"/>
        </w:rPr>
        <w:t>)</w:t>
      </w:r>
    </w:p>
    <w:p w14:paraId="701CF0A5" w14:textId="77777777" w:rsidR="00EC7D5C" w:rsidRPr="006E2046" w:rsidRDefault="00EC7D5C" w:rsidP="000D7330">
      <w:pPr>
        <w:shd w:val="clear" w:color="auto" w:fill="FFFFFF"/>
        <w:spacing w:after="0" w:line="276" w:lineRule="auto"/>
        <w:jc w:val="both"/>
        <w:rPr>
          <w:rFonts w:ascii="Times New Roman" w:eastAsia="Times New Roman" w:hAnsi="Times New Roman" w:cs="Times New Roman"/>
          <w:sz w:val="24"/>
          <w:szCs w:val="24"/>
        </w:rPr>
      </w:pPr>
    </w:p>
    <w:p w14:paraId="2148CE7F" w14:textId="4B2A67AA" w:rsidR="00EC7D5C" w:rsidRPr="006E2046" w:rsidRDefault="00EC7D5C" w:rsidP="000D7330">
      <w:pPr>
        <w:shd w:val="clear" w:color="auto" w:fill="FFFFFF"/>
        <w:spacing w:after="0" w:line="276" w:lineRule="auto"/>
        <w:jc w:val="both"/>
        <w:rPr>
          <w:rFonts w:ascii="Times New Roman" w:eastAsia="Times New Roman" w:hAnsi="Times New Roman" w:cs="Times New Roman"/>
          <w:sz w:val="24"/>
          <w:szCs w:val="24"/>
        </w:rPr>
      </w:pPr>
      <w:r w:rsidRPr="006E2046">
        <w:rPr>
          <w:rFonts w:ascii="Times New Roman" w:hAnsi="Times New Roman" w:cs="Times New Roman"/>
          <w:sz w:val="24"/>
          <w:szCs w:val="24"/>
        </w:rPr>
        <w:tab/>
        <w:t>Derivation of the common</w:t>
      </w:r>
      <w:r w:rsidR="00A363F9" w:rsidRPr="006E2046">
        <w:rPr>
          <w:rFonts w:ascii="Times New Roman" w:hAnsi="Times New Roman" w:cs="Times New Roman"/>
          <w:sz w:val="24"/>
          <w:szCs w:val="24"/>
        </w:rPr>
        <w:t>-</w:t>
      </w:r>
      <w:r w:rsidRPr="006E2046">
        <w:rPr>
          <w:rFonts w:ascii="Times New Roman" w:hAnsi="Times New Roman" w:cs="Times New Roman"/>
          <w:sz w:val="24"/>
          <w:szCs w:val="24"/>
        </w:rPr>
        <w:t>law rule in New York appears to begin with</w:t>
      </w:r>
      <w:r w:rsidRPr="006E2046">
        <w:rPr>
          <w:rFonts w:ascii="Times New Roman" w:hAnsi="Times New Roman" w:cs="Times New Roman"/>
          <w:b/>
          <w:bCs/>
          <w:sz w:val="24"/>
          <w:szCs w:val="24"/>
        </w:rPr>
        <w:t xml:space="preserve"> </w:t>
      </w:r>
      <w:r w:rsidRPr="006E2046">
        <w:rPr>
          <w:rFonts w:ascii="Times New Roman" w:eastAsia="Times New Roman" w:hAnsi="Times New Roman" w:cs="Times New Roman"/>
          <w:i/>
          <w:iCs/>
          <w:sz w:val="24"/>
          <w:szCs w:val="24"/>
          <w:bdr w:val="none" w:sz="0" w:space="0" w:color="auto" w:frame="1"/>
        </w:rPr>
        <w:t>People v Minck</w:t>
      </w:r>
      <w:r w:rsidR="009B154C" w:rsidRPr="006E2046">
        <w:rPr>
          <w:rFonts w:ascii="Times New Roman" w:eastAsia="Times New Roman" w:hAnsi="Times New Roman" w:cs="Times New Roman"/>
          <w:sz w:val="24"/>
          <w:szCs w:val="24"/>
        </w:rPr>
        <w:t xml:space="preserve"> (</w:t>
      </w:r>
      <w:r w:rsidRPr="006E2046">
        <w:rPr>
          <w:rFonts w:ascii="Times New Roman" w:eastAsia="Times New Roman" w:hAnsi="Times New Roman" w:cs="Times New Roman"/>
          <w:sz w:val="24"/>
          <w:szCs w:val="24"/>
        </w:rPr>
        <w:t>21 NY 539, 541 [1860]</w:t>
      </w:r>
      <w:r w:rsidR="009B154C" w:rsidRPr="006E2046">
        <w:rPr>
          <w:rFonts w:ascii="Times New Roman" w:eastAsia="Times New Roman" w:hAnsi="Times New Roman" w:cs="Times New Roman"/>
          <w:sz w:val="24"/>
          <w:szCs w:val="24"/>
        </w:rPr>
        <w:t>),</w:t>
      </w:r>
      <w:r w:rsidRPr="006E2046">
        <w:rPr>
          <w:rFonts w:ascii="Times New Roman" w:eastAsia="Times New Roman" w:hAnsi="Times New Roman" w:cs="Times New Roman"/>
          <w:sz w:val="24"/>
          <w:szCs w:val="24"/>
        </w:rPr>
        <w:t xml:space="preserve"> which approved the introduction in evidence of “election returns,” noting that they “</w:t>
      </w:r>
      <w:r w:rsidRPr="006E2046">
        <w:rPr>
          <w:rFonts w:ascii="Times New Roman" w:eastAsia="Times New Roman" w:hAnsi="Times New Roman" w:cs="Times New Roman"/>
          <w:sz w:val="24"/>
          <w:szCs w:val="24"/>
          <w:bdr w:val="none" w:sz="0" w:space="0" w:color="auto" w:frame="1"/>
          <w:shd w:val="clear" w:color="auto" w:fill="FFFFFF"/>
        </w:rPr>
        <w:t xml:space="preserve">are documents of a public nature, made out and filed in the proper office, under the responsibilities of an official oath, and they remain in the custody of a sworn public officer.” </w:t>
      </w:r>
      <w:r w:rsidR="009B154C" w:rsidRPr="006E2046">
        <w:rPr>
          <w:rFonts w:ascii="Times New Roman" w:eastAsia="Times New Roman" w:hAnsi="Times New Roman" w:cs="Times New Roman"/>
          <w:sz w:val="24"/>
          <w:szCs w:val="24"/>
          <w:bdr w:val="none" w:sz="0" w:space="0" w:color="auto" w:frame="1"/>
          <w:shd w:val="clear" w:color="auto" w:fill="FFFFFF"/>
        </w:rPr>
        <w:t xml:space="preserve">The court in </w:t>
      </w:r>
      <w:r w:rsidRPr="006E2046">
        <w:rPr>
          <w:rFonts w:ascii="Times New Roman" w:eastAsia="Times New Roman" w:hAnsi="Times New Roman" w:cs="Times New Roman"/>
          <w:i/>
          <w:iCs/>
          <w:sz w:val="24"/>
          <w:szCs w:val="24"/>
          <w:bdr w:val="none" w:sz="0" w:space="0" w:color="auto" w:frame="1"/>
        </w:rPr>
        <w:t>People v Baker</w:t>
      </w:r>
      <w:r w:rsidR="009B154C" w:rsidRPr="006E2046">
        <w:rPr>
          <w:rFonts w:ascii="Times New Roman" w:eastAsia="Times New Roman" w:hAnsi="Times New Roman" w:cs="Times New Roman"/>
          <w:sz w:val="24"/>
          <w:szCs w:val="24"/>
        </w:rPr>
        <w:t xml:space="preserve"> (</w:t>
      </w:r>
      <w:r w:rsidRPr="006E2046">
        <w:rPr>
          <w:rFonts w:ascii="Times New Roman" w:eastAsia="Times New Roman" w:hAnsi="Times New Roman" w:cs="Times New Roman"/>
          <w:sz w:val="24"/>
          <w:szCs w:val="24"/>
        </w:rPr>
        <w:t xml:space="preserve">183 Misc 2d 650 [Oneida </w:t>
      </w:r>
      <w:r w:rsidRPr="006E2046">
        <w:rPr>
          <w:rFonts w:ascii="Times New Roman" w:hAnsi="Times New Roman" w:cs="Times New Roman"/>
          <w:sz w:val="24"/>
          <w:szCs w:val="24"/>
          <w:shd w:val="clear" w:color="auto" w:fill="FFFFFF"/>
        </w:rPr>
        <w:t>Co</w:t>
      </w:r>
      <w:r w:rsidR="00A363F9" w:rsidRPr="006E2046">
        <w:rPr>
          <w:rFonts w:ascii="Times New Roman" w:hAnsi="Times New Roman" w:cs="Times New Roman"/>
          <w:sz w:val="24"/>
          <w:szCs w:val="24"/>
          <w:shd w:val="clear" w:color="auto" w:fill="FFFFFF"/>
        </w:rPr>
        <w:t>unty</w:t>
      </w:r>
      <w:r w:rsidR="009B154C" w:rsidRPr="006E2046">
        <w:rPr>
          <w:rFonts w:ascii="Times New Roman" w:hAnsi="Times New Roman" w:cs="Times New Roman"/>
          <w:sz w:val="24"/>
          <w:szCs w:val="24"/>
          <w:shd w:val="clear" w:color="auto" w:fill="FFFFFF"/>
        </w:rPr>
        <w:t xml:space="preserve"> Ct</w:t>
      </w:r>
      <w:r w:rsidRPr="006E2046">
        <w:rPr>
          <w:rFonts w:ascii="Times New Roman" w:hAnsi="Times New Roman" w:cs="Times New Roman"/>
          <w:sz w:val="24"/>
          <w:szCs w:val="24"/>
          <w:shd w:val="clear" w:color="auto" w:fill="FFFFFF"/>
        </w:rPr>
        <w:t xml:space="preserve"> 2000]</w:t>
      </w:r>
      <w:r w:rsidR="009B154C"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 xml:space="preserve"> synthesized the rule, holding, like </w:t>
      </w:r>
      <w:r w:rsidRPr="006E2046">
        <w:rPr>
          <w:rFonts w:ascii="Times New Roman" w:hAnsi="Times New Roman" w:cs="Times New Roman"/>
          <w:i/>
          <w:iCs/>
          <w:sz w:val="24"/>
          <w:szCs w:val="24"/>
          <w:shd w:val="clear" w:color="auto" w:fill="FFFFFF"/>
        </w:rPr>
        <w:t>Chesapeake</w:t>
      </w:r>
      <w:r w:rsidRPr="006E2046">
        <w:rPr>
          <w:rFonts w:ascii="Times New Roman" w:hAnsi="Times New Roman" w:cs="Times New Roman"/>
          <w:sz w:val="24"/>
          <w:szCs w:val="24"/>
          <w:shd w:val="clear" w:color="auto" w:fill="FFFFFF"/>
        </w:rPr>
        <w:t>,</w:t>
      </w:r>
      <w:r w:rsidRPr="006E2046">
        <w:rPr>
          <w:rFonts w:ascii="Times New Roman" w:hAnsi="Times New Roman" w:cs="Times New Roman"/>
          <w:i/>
          <w:iCs/>
          <w:sz w:val="24"/>
          <w:szCs w:val="24"/>
          <w:shd w:val="clear" w:color="auto" w:fill="FFFFFF"/>
        </w:rPr>
        <w:t xml:space="preserve"> </w:t>
      </w:r>
      <w:r w:rsidRPr="006E2046">
        <w:rPr>
          <w:rFonts w:ascii="Times New Roman" w:hAnsi="Times New Roman" w:cs="Times New Roman"/>
          <w:sz w:val="24"/>
          <w:szCs w:val="24"/>
          <w:shd w:val="clear" w:color="auto" w:fill="FFFFFF"/>
        </w:rPr>
        <w:t xml:space="preserve">that </w:t>
      </w:r>
      <w:r w:rsidRPr="006E2046">
        <w:rPr>
          <w:rFonts w:ascii="Times New Roman" w:eastAsia="Times New Roman" w:hAnsi="Times New Roman" w:cs="Times New Roman"/>
          <w:sz w:val="24"/>
          <w:szCs w:val="24"/>
        </w:rPr>
        <w:t>“when a public officer is required or authorized statutorily or by the nature of his or her official duties to keep records of transactions occurring in the course of such duties, the records made by or under the supervision of the public officer are admissible. When the document is offered under this exception to the hearsay rule, proper authentication is nonetheless required” (</w:t>
      </w:r>
      <w:r w:rsidR="00A363F9" w:rsidRPr="006E2046">
        <w:rPr>
          <w:rFonts w:ascii="Times New Roman" w:eastAsia="Times New Roman" w:hAnsi="Times New Roman" w:cs="Times New Roman"/>
          <w:i/>
          <w:iCs/>
          <w:sz w:val="24"/>
          <w:szCs w:val="24"/>
        </w:rPr>
        <w:t>i</w:t>
      </w:r>
      <w:r w:rsidR="009B154C" w:rsidRPr="006E2046">
        <w:rPr>
          <w:rFonts w:ascii="Times New Roman" w:eastAsia="Times New Roman" w:hAnsi="Times New Roman" w:cs="Times New Roman"/>
          <w:i/>
          <w:iCs/>
          <w:sz w:val="24"/>
          <w:szCs w:val="24"/>
        </w:rPr>
        <w:t>d</w:t>
      </w:r>
      <w:r w:rsidR="009B154C" w:rsidRPr="006E2046">
        <w:rPr>
          <w:rFonts w:ascii="Times New Roman" w:eastAsia="Times New Roman" w:hAnsi="Times New Roman" w:cs="Times New Roman"/>
          <w:sz w:val="24"/>
          <w:szCs w:val="24"/>
        </w:rPr>
        <w:t>. at 653 [</w:t>
      </w:r>
      <w:r w:rsidRPr="006E2046">
        <w:rPr>
          <w:rFonts w:ascii="Times New Roman" w:eastAsia="Times New Roman" w:hAnsi="Times New Roman" w:cs="Times New Roman"/>
          <w:sz w:val="24"/>
          <w:szCs w:val="24"/>
        </w:rPr>
        <w:t>citations omitted</w:t>
      </w:r>
      <w:r w:rsidR="009B154C" w:rsidRPr="006E2046">
        <w:rPr>
          <w:rFonts w:ascii="Times New Roman" w:eastAsia="Times New Roman" w:hAnsi="Times New Roman" w:cs="Times New Roman"/>
          <w:sz w:val="24"/>
          <w:szCs w:val="24"/>
        </w:rPr>
        <w:t>]</w:t>
      </w:r>
      <w:r w:rsidRPr="006E2046">
        <w:rPr>
          <w:rFonts w:ascii="Times New Roman" w:eastAsia="Times New Roman" w:hAnsi="Times New Roman" w:cs="Times New Roman"/>
          <w:sz w:val="24"/>
          <w:szCs w:val="24"/>
        </w:rPr>
        <w:t>)</w:t>
      </w:r>
      <w:r w:rsidR="00F914E3" w:rsidRPr="006E2046">
        <w:rPr>
          <w:rFonts w:ascii="Times New Roman" w:eastAsia="Times New Roman" w:hAnsi="Times New Roman" w:cs="Times New Roman"/>
          <w:sz w:val="24"/>
          <w:szCs w:val="24"/>
        </w:rPr>
        <w:t xml:space="preserve">. </w:t>
      </w:r>
    </w:p>
    <w:p w14:paraId="0126AEFD" w14:textId="77777777" w:rsidR="00EC7D5C" w:rsidRPr="006E2046" w:rsidRDefault="00EC7D5C" w:rsidP="000D7330">
      <w:pPr>
        <w:shd w:val="clear" w:color="auto" w:fill="FFFFFF"/>
        <w:spacing w:after="0" w:line="276" w:lineRule="auto"/>
        <w:jc w:val="both"/>
        <w:rPr>
          <w:rFonts w:ascii="Times New Roman" w:eastAsia="Times New Roman" w:hAnsi="Times New Roman" w:cs="Times New Roman"/>
          <w:sz w:val="24"/>
          <w:szCs w:val="24"/>
        </w:rPr>
      </w:pPr>
      <w:bookmarkStart w:id="4" w:name="co_anchor_I2613356B256211DFA118E0F09A3F"/>
    </w:p>
    <w:p w14:paraId="1A247034" w14:textId="75D6816D" w:rsidR="00933AF2" w:rsidRPr="006E2046" w:rsidRDefault="00EC7D5C" w:rsidP="000D7330">
      <w:pPr>
        <w:shd w:val="clear" w:color="auto" w:fill="FFFFFF"/>
        <w:spacing w:after="0" w:line="276" w:lineRule="auto"/>
        <w:ind w:firstLine="720"/>
        <w:jc w:val="both"/>
        <w:rPr>
          <w:rFonts w:ascii="Times New Roman" w:hAnsi="Times New Roman" w:cs="Times New Roman"/>
          <w:sz w:val="24"/>
          <w:szCs w:val="24"/>
        </w:rPr>
      </w:pPr>
      <w:r w:rsidRPr="006E2046">
        <w:rPr>
          <w:rFonts w:ascii="Times New Roman" w:eastAsia="Times New Roman" w:hAnsi="Times New Roman" w:cs="Times New Roman"/>
          <w:sz w:val="24"/>
          <w:szCs w:val="24"/>
        </w:rPr>
        <w:t>The significant difference between CPLR 4520 and the common</w:t>
      </w:r>
      <w:r w:rsidR="00A363F9" w:rsidRPr="006E2046">
        <w:rPr>
          <w:rFonts w:ascii="Times New Roman" w:eastAsia="Times New Roman" w:hAnsi="Times New Roman" w:cs="Times New Roman"/>
          <w:sz w:val="24"/>
          <w:szCs w:val="24"/>
        </w:rPr>
        <w:t>-</w:t>
      </w:r>
      <w:r w:rsidRPr="006E2046">
        <w:rPr>
          <w:rFonts w:ascii="Times New Roman" w:eastAsia="Times New Roman" w:hAnsi="Times New Roman" w:cs="Times New Roman"/>
          <w:sz w:val="24"/>
          <w:szCs w:val="24"/>
        </w:rPr>
        <w:t>law rule is that the common</w:t>
      </w:r>
      <w:r w:rsidR="00A363F9" w:rsidRPr="006E2046">
        <w:rPr>
          <w:rFonts w:ascii="Times New Roman" w:eastAsia="Times New Roman" w:hAnsi="Times New Roman" w:cs="Times New Roman"/>
          <w:sz w:val="24"/>
          <w:szCs w:val="24"/>
        </w:rPr>
        <w:t>-</w:t>
      </w:r>
      <w:r w:rsidRPr="006E2046">
        <w:rPr>
          <w:rFonts w:ascii="Times New Roman" w:eastAsia="Times New Roman" w:hAnsi="Times New Roman" w:cs="Times New Roman"/>
          <w:sz w:val="24"/>
          <w:szCs w:val="24"/>
        </w:rPr>
        <w:t xml:space="preserve">law </w:t>
      </w:r>
      <w:r w:rsidR="00933AF2" w:rsidRPr="006E2046">
        <w:rPr>
          <w:rFonts w:ascii="Times New Roman" w:eastAsia="Times New Roman" w:hAnsi="Times New Roman" w:cs="Times New Roman"/>
          <w:sz w:val="24"/>
          <w:szCs w:val="24"/>
        </w:rPr>
        <w:t xml:space="preserve">rule, </w:t>
      </w:r>
      <w:r w:rsidR="00933AF2" w:rsidRPr="006E2046">
        <w:rPr>
          <w:rFonts w:ascii="Times New Roman" w:hAnsi="Times New Roman" w:cs="Times New Roman"/>
          <w:sz w:val="24"/>
          <w:szCs w:val="24"/>
        </w:rPr>
        <w:t>unlike CPLR 4520, is not limited to certificates or affidavits or records filed in a state public office. It covers any public record. Furthermore, the common</w:t>
      </w:r>
      <w:r w:rsidR="00A363F9" w:rsidRPr="006E2046">
        <w:rPr>
          <w:rFonts w:ascii="Times New Roman" w:hAnsi="Times New Roman" w:cs="Times New Roman"/>
          <w:sz w:val="24"/>
          <w:szCs w:val="24"/>
        </w:rPr>
        <w:t>-</w:t>
      </w:r>
      <w:r w:rsidR="00933AF2" w:rsidRPr="006E2046">
        <w:rPr>
          <w:rFonts w:ascii="Times New Roman" w:hAnsi="Times New Roman" w:cs="Times New Roman"/>
          <w:sz w:val="24"/>
          <w:szCs w:val="24"/>
        </w:rPr>
        <w:t xml:space="preserve">law rule, unlike CPLR 4520, </w:t>
      </w:r>
      <w:r w:rsidRPr="006E2046">
        <w:rPr>
          <w:rFonts w:ascii="Times New Roman" w:eastAsia="Times New Roman" w:hAnsi="Times New Roman" w:cs="Times New Roman"/>
          <w:sz w:val="24"/>
          <w:szCs w:val="24"/>
        </w:rPr>
        <w:t xml:space="preserve">does not require that the public officer be </w:t>
      </w:r>
      <w:r w:rsidRPr="006E2046">
        <w:rPr>
          <w:rFonts w:ascii="Times New Roman" w:hAnsi="Times New Roman" w:cs="Times New Roman"/>
          <w:sz w:val="24"/>
          <w:szCs w:val="24"/>
        </w:rPr>
        <w:t xml:space="preserve">required or authorized “by special provision of law” to make </w:t>
      </w:r>
      <w:r w:rsidR="00F42622" w:rsidRPr="006E2046">
        <w:rPr>
          <w:rFonts w:ascii="Times New Roman" w:hAnsi="Times New Roman" w:cs="Times New Roman"/>
          <w:sz w:val="24"/>
          <w:szCs w:val="24"/>
        </w:rPr>
        <w:t>the record</w:t>
      </w:r>
      <w:r w:rsidR="001C7A39" w:rsidRPr="006E2046">
        <w:rPr>
          <w:rFonts w:ascii="Times New Roman" w:hAnsi="Times New Roman" w:cs="Times New Roman"/>
          <w:sz w:val="24"/>
          <w:szCs w:val="24"/>
        </w:rPr>
        <w:t>. (</w:t>
      </w:r>
      <w:r w:rsidR="001C7A39" w:rsidRPr="006E2046">
        <w:rPr>
          <w:rFonts w:ascii="Times New Roman" w:hAnsi="Times New Roman" w:cs="Times New Roman"/>
          <w:i/>
          <w:iCs/>
          <w:sz w:val="24"/>
          <w:szCs w:val="24"/>
        </w:rPr>
        <w:t xml:space="preserve">See </w:t>
      </w:r>
      <w:r w:rsidR="001C7A39" w:rsidRPr="006E2046">
        <w:rPr>
          <w:rFonts w:ascii="Times New Roman" w:eastAsia="Times New Roman" w:hAnsi="Times New Roman" w:cs="Times New Roman"/>
          <w:i/>
          <w:iCs/>
          <w:sz w:val="24"/>
          <w:szCs w:val="24"/>
          <w:bdr w:val="none" w:sz="0" w:space="0" w:color="auto" w:frame="1"/>
        </w:rPr>
        <w:t>People v Sykes</w:t>
      </w:r>
      <w:r w:rsidR="001C7A39" w:rsidRPr="006E2046">
        <w:rPr>
          <w:rFonts w:ascii="Times New Roman" w:eastAsia="Times New Roman" w:hAnsi="Times New Roman" w:cs="Times New Roman"/>
          <w:sz w:val="24"/>
          <w:szCs w:val="24"/>
        </w:rPr>
        <w:t>, 167 Misc 2d 588, 591 [Sup Ct</w:t>
      </w:r>
      <w:r w:rsidR="00710E53" w:rsidRPr="006E2046">
        <w:rPr>
          <w:rFonts w:ascii="Times New Roman" w:eastAsia="Times New Roman" w:hAnsi="Times New Roman" w:cs="Times New Roman"/>
          <w:sz w:val="24"/>
          <w:szCs w:val="24"/>
        </w:rPr>
        <w:t>, Monroe County</w:t>
      </w:r>
      <w:r w:rsidR="00A54E19" w:rsidRPr="006E2046">
        <w:rPr>
          <w:rFonts w:ascii="Times New Roman" w:eastAsia="Times New Roman" w:hAnsi="Times New Roman" w:cs="Times New Roman"/>
          <w:sz w:val="24"/>
          <w:szCs w:val="24"/>
        </w:rPr>
        <w:t xml:space="preserve"> </w:t>
      </w:r>
      <w:r w:rsidR="001C7A39" w:rsidRPr="006E2046">
        <w:rPr>
          <w:rFonts w:ascii="Times New Roman" w:eastAsia="Times New Roman" w:hAnsi="Times New Roman" w:cs="Times New Roman"/>
          <w:sz w:val="24"/>
          <w:szCs w:val="24"/>
        </w:rPr>
        <w:t>1995]</w:t>
      </w:r>
      <w:r w:rsidR="00710E53" w:rsidRPr="006E2046">
        <w:rPr>
          <w:rFonts w:ascii="Times New Roman" w:eastAsia="Times New Roman" w:hAnsi="Times New Roman" w:cs="Times New Roman"/>
          <w:sz w:val="24"/>
          <w:szCs w:val="24"/>
        </w:rPr>
        <w:t xml:space="preserve"> </w:t>
      </w:r>
      <w:r w:rsidR="001C7A39" w:rsidRPr="006E2046">
        <w:rPr>
          <w:rFonts w:ascii="Times New Roman" w:eastAsia="Times New Roman" w:hAnsi="Times New Roman" w:cs="Times New Roman"/>
          <w:sz w:val="24"/>
          <w:szCs w:val="24"/>
        </w:rPr>
        <w:t xml:space="preserve">[“The line of demarcation between CPLR 4520 and 4518 would seem to be this </w:t>
      </w:r>
      <w:r w:rsidR="00710E53" w:rsidRPr="006E2046">
        <w:rPr>
          <w:rFonts w:ascii="Times New Roman" w:eastAsia="Times New Roman" w:hAnsi="Times New Roman" w:cs="Times New Roman"/>
          <w:sz w:val="24"/>
          <w:szCs w:val="24"/>
        </w:rPr>
        <w:t>‘</w:t>
      </w:r>
      <w:r w:rsidR="001C7A39" w:rsidRPr="006E2046">
        <w:rPr>
          <w:rFonts w:ascii="Times New Roman" w:eastAsia="Times New Roman" w:hAnsi="Times New Roman" w:cs="Times New Roman"/>
          <w:sz w:val="24"/>
          <w:szCs w:val="24"/>
        </w:rPr>
        <w:t>special provision of law</w:t>
      </w:r>
      <w:r w:rsidR="00710E53" w:rsidRPr="006E2046">
        <w:rPr>
          <w:rFonts w:ascii="Times New Roman" w:eastAsia="Times New Roman" w:hAnsi="Times New Roman" w:cs="Times New Roman"/>
          <w:sz w:val="24"/>
          <w:szCs w:val="24"/>
        </w:rPr>
        <w:t>’</w:t>
      </w:r>
      <w:r w:rsidR="001C7A39" w:rsidRPr="006E2046">
        <w:rPr>
          <w:rFonts w:ascii="Times New Roman" w:eastAsia="Times New Roman" w:hAnsi="Times New Roman" w:cs="Times New Roman"/>
          <w:sz w:val="24"/>
          <w:szCs w:val="24"/>
        </w:rPr>
        <w:t xml:space="preserve"> clause as it affects the governmental agency involved in publishing the document”]</w:t>
      </w:r>
      <w:r w:rsidR="00710E53" w:rsidRPr="006E2046">
        <w:rPr>
          <w:rFonts w:ascii="Times New Roman" w:eastAsia="Times New Roman" w:hAnsi="Times New Roman" w:cs="Times New Roman"/>
          <w:sz w:val="24"/>
          <w:szCs w:val="24"/>
        </w:rPr>
        <w:t xml:space="preserve">, </w:t>
      </w:r>
      <w:r w:rsidR="00710E53" w:rsidRPr="006E2046">
        <w:rPr>
          <w:rFonts w:ascii="Times New Roman" w:eastAsia="Times New Roman" w:hAnsi="Times New Roman" w:cs="Times New Roman"/>
          <w:i/>
          <w:iCs/>
          <w:sz w:val="24"/>
          <w:szCs w:val="24"/>
          <w:bdr w:val="none" w:sz="0" w:space="0" w:color="auto" w:frame="1"/>
        </w:rPr>
        <w:t>affd</w:t>
      </w:r>
      <w:r w:rsidR="00710E53" w:rsidRPr="006E2046">
        <w:rPr>
          <w:rFonts w:ascii="Times New Roman" w:eastAsia="Times New Roman" w:hAnsi="Times New Roman" w:cs="Times New Roman"/>
          <w:sz w:val="24"/>
          <w:szCs w:val="24"/>
        </w:rPr>
        <w:t xml:space="preserve"> 225 AD2d 1093 [4th Dept 1996].</w:t>
      </w:r>
      <w:r w:rsidR="001C7A39" w:rsidRPr="006E2046">
        <w:rPr>
          <w:rFonts w:ascii="Times New Roman" w:eastAsia="Times New Roman" w:hAnsi="Times New Roman" w:cs="Times New Roman"/>
          <w:sz w:val="24"/>
          <w:szCs w:val="24"/>
        </w:rPr>
        <w:t>) R</w:t>
      </w:r>
      <w:r w:rsidRPr="006E2046">
        <w:rPr>
          <w:rFonts w:ascii="Times New Roman" w:hAnsi="Times New Roman" w:cs="Times New Roman"/>
          <w:sz w:val="24"/>
          <w:szCs w:val="24"/>
        </w:rPr>
        <w:t>ather, the common</w:t>
      </w:r>
      <w:r w:rsidR="00710E53" w:rsidRPr="006E2046">
        <w:rPr>
          <w:rFonts w:ascii="Times New Roman" w:hAnsi="Times New Roman" w:cs="Times New Roman"/>
          <w:sz w:val="24"/>
          <w:szCs w:val="24"/>
        </w:rPr>
        <w:t>-</w:t>
      </w:r>
      <w:r w:rsidRPr="006E2046">
        <w:rPr>
          <w:rFonts w:ascii="Times New Roman" w:hAnsi="Times New Roman" w:cs="Times New Roman"/>
          <w:sz w:val="24"/>
          <w:szCs w:val="24"/>
        </w:rPr>
        <w:t xml:space="preserve">law rule is satisfied when the public officer is required to make the </w:t>
      </w:r>
      <w:r w:rsidR="00933AF2" w:rsidRPr="006E2046">
        <w:rPr>
          <w:rFonts w:ascii="Times New Roman" w:hAnsi="Times New Roman" w:cs="Times New Roman"/>
          <w:sz w:val="24"/>
          <w:szCs w:val="24"/>
        </w:rPr>
        <w:t xml:space="preserve">record </w:t>
      </w:r>
      <w:r w:rsidRPr="006E2046">
        <w:rPr>
          <w:rFonts w:ascii="Times New Roman" w:hAnsi="Times New Roman" w:cs="Times New Roman"/>
          <w:sz w:val="24"/>
          <w:szCs w:val="24"/>
        </w:rPr>
        <w:t xml:space="preserve">by the nature of </w:t>
      </w:r>
      <w:r w:rsidR="00705C3D" w:rsidRPr="006E2046">
        <w:rPr>
          <w:rFonts w:ascii="Times New Roman" w:hAnsi="Times New Roman" w:cs="Times New Roman"/>
          <w:sz w:val="24"/>
          <w:szCs w:val="24"/>
        </w:rPr>
        <w:t xml:space="preserve">the </w:t>
      </w:r>
      <w:r w:rsidRPr="006E2046">
        <w:rPr>
          <w:rFonts w:ascii="Times New Roman" w:hAnsi="Times New Roman" w:cs="Times New Roman"/>
          <w:sz w:val="24"/>
          <w:szCs w:val="24"/>
        </w:rPr>
        <w:t>public officer’s official duties</w:t>
      </w:r>
      <w:r w:rsidR="00F914E3" w:rsidRPr="006E2046">
        <w:rPr>
          <w:rFonts w:ascii="Times New Roman" w:hAnsi="Times New Roman" w:cs="Times New Roman"/>
          <w:sz w:val="24"/>
          <w:szCs w:val="24"/>
        </w:rPr>
        <w:t>.</w:t>
      </w:r>
    </w:p>
    <w:p w14:paraId="6F594864" w14:textId="77777777" w:rsidR="00E64D08" w:rsidRPr="006E2046" w:rsidRDefault="00E64D08" w:rsidP="000D7330">
      <w:pPr>
        <w:shd w:val="clear" w:color="auto" w:fill="FFFFFF"/>
        <w:spacing w:after="0" w:line="276" w:lineRule="auto"/>
        <w:ind w:firstLine="720"/>
        <w:jc w:val="both"/>
        <w:rPr>
          <w:rFonts w:ascii="Times New Roman" w:hAnsi="Times New Roman" w:cs="Times New Roman"/>
          <w:sz w:val="24"/>
          <w:szCs w:val="24"/>
        </w:rPr>
      </w:pPr>
    </w:p>
    <w:p w14:paraId="68357D6F" w14:textId="4445C366" w:rsidR="009B154C" w:rsidRPr="006E2046" w:rsidRDefault="009B154C" w:rsidP="000D7330">
      <w:pPr>
        <w:shd w:val="clear" w:color="auto" w:fill="FFFFFF"/>
        <w:spacing w:after="0" w:line="276" w:lineRule="auto"/>
        <w:jc w:val="both"/>
        <w:rPr>
          <w:rFonts w:ascii="Times New Roman" w:hAnsi="Times New Roman" w:cs="Times New Roman"/>
          <w:sz w:val="24"/>
          <w:szCs w:val="24"/>
        </w:rPr>
      </w:pPr>
      <w:r w:rsidRPr="006E2046">
        <w:rPr>
          <w:rFonts w:ascii="Times New Roman" w:hAnsi="Times New Roman" w:cs="Times New Roman"/>
          <w:sz w:val="24"/>
          <w:szCs w:val="24"/>
        </w:rPr>
        <w:tab/>
      </w:r>
      <w:r w:rsidR="00F42622" w:rsidRPr="006E2046">
        <w:rPr>
          <w:rFonts w:ascii="Times New Roman" w:hAnsi="Times New Roman" w:cs="Times New Roman"/>
          <w:sz w:val="24"/>
          <w:szCs w:val="24"/>
        </w:rPr>
        <w:t xml:space="preserve">A </w:t>
      </w:r>
      <w:r w:rsidRPr="006E2046">
        <w:rPr>
          <w:rFonts w:ascii="Times New Roman" w:hAnsi="Times New Roman" w:cs="Times New Roman"/>
          <w:sz w:val="24"/>
          <w:szCs w:val="24"/>
        </w:rPr>
        <w:t>record</w:t>
      </w:r>
      <w:r w:rsidR="00C90DF2" w:rsidRPr="006E2046">
        <w:rPr>
          <w:rFonts w:ascii="Times New Roman" w:hAnsi="Times New Roman" w:cs="Times New Roman"/>
          <w:sz w:val="24"/>
          <w:szCs w:val="24"/>
        </w:rPr>
        <w:t xml:space="preserve">, </w:t>
      </w:r>
      <w:r w:rsidRPr="006E2046">
        <w:rPr>
          <w:rFonts w:ascii="Times New Roman" w:hAnsi="Times New Roman" w:cs="Times New Roman"/>
          <w:sz w:val="24"/>
          <w:szCs w:val="24"/>
        </w:rPr>
        <w:t>when admissible under the common</w:t>
      </w:r>
      <w:r w:rsidR="002675EF" w:rsidRPr="006E2046">
        <w:rPr>
          <w:rFonts w:ascii="Times New Roman" w:hAnsi="Times New Roman" w:cs="Times New Roman"/>
          <w:sz w:val="24"/>
          <w:szCs w:val="24"/>
        </w:rPr>
        <w:t>-</w:t>
      </w:r>
      <w:r w:rsidRPr="006E2046">
        <w:rPr>
          <w:rFonts w:ascii="Times New Roman" w:hAnsi="Times New Roman" w:cs="Times New Roman"/>
          <w:sz w:val="24"/>
          <w:szCs w:val="24"/>
        </w:rPr>
        <w:t>law rule, is not “prima facie” evidence of the f</w:t>
      </w:r>
      <w:r w:rsidR="00C90DF2" w:rsidRPr="006E2046">
        <w:rPr>
          <w:rFonts w:ascii="Times New Roman" w:hAnsi="Times New Roman" w:cs="Times New Roman"/>
          <w:sz w:val="24"/>
          <w:szCs w:val="24"/>
        </w:rPr>
        <w:t>a</w:t>
      </w:r>
      <w:r w:rsidRPr="006E2046">
        <w:rPr>
          <w:rFonts w:ascii="Times New Roman" w:hAnsi="Times New Roman" w:cs="Times New Roman"/>
          <w:sz w:val="24"/>
          <w:szCs w:val="24"/>
        </w:rPr>
        <w:t>cts contained</w:t>
      </w:r>
      <w:r w:rsidR="00C90DF2" w:rsidRPr="006E2046">
        <w:rPr>
          <w:rFonts w:ascii="Times New Roman" w:hAnsi="Times New Roman" w:cs="Times New Roman"/>
          <w:sz w:val="24"/>
          <w:szCs w:val="24"/>
        </w:rPr>
        <w:t xml:space="preserve"> (CPLR 4520), but </w:t>
      </w:r>
      <w:r w:rsidR="00CF396F" w:rsidRPr="006E2046">
        <w:rPr>
          <w:rFonts w:ascii="Times New Roman" w:hAnsi="Times New Roman" w:cs="Times New Roman"/>
          <w:sz w:val="24"/>
          <w:szCs w:val="24"/>
        </w:rPr>
        <w:t>it is</w:t>
      </w:r>
      <w:r w:rsidR="00C90DF2" w:rsidRPr="006E2046">
        <w:rPr>
          <w:rFonts w:ascii="Times New Roman" w:hAnsi="Times New Roman" w:cs="Times New Roman"/>
          <w:sz w:val="24"/>
          <w:szCs w:val="24"/>
        </w:rPr>
        <w:t xml:space="preserve"> </w:t>
      </w:r>
      <w:bookmarkStart w:id="5" w:name="_Hlk171786023"/>
      <w:r w:rsidR="00C90DF2" w:rsidRPr="006E2046">
        <w:rPr>
          <w:rFonts w:ascii="Times New Roman" w:hAnsi="Times New Roman" w:cs="Times New Roman"/>
          <w:sz w:val="24"/>
          <w:szCs w:val="24"/>
        </w:rPr>
        <w:t xml:space="preserve">some evidence of the facts </w:t>
      </w:r>
      <w:bookmarkEnd w:id="5"/>
      <w:r w:rsidR="00C90DF2" w:rsidRPr="006E2046">
        <w:rPr>
          <w:rFonts w:ascii="Times New Roman" w:hAnsi="Times New Roman" w:cs="Times New Roman"/>
          <w:sz w:val="24"/>
          <w:szCs w:val="24"/>
        </w:rPr>
        <w:t>(</w:t>
      </w:r>
      <w:r w:rsidR="00C90DF2" w:rsidRPr="006E2046">
        <w:rPr>
          <w:rFonts w:ascii="Times New Roman" w:hAnsi="Times New Roman" w:cs="Times New Roman"/>
          <w:i/>
          <w:iCs/>
          <w:sz w:val="24"/>
          <w:szCs w:val="24"/>
        </w:rPr>
        <w:t>Martin v Ford Motor Co</w:t>
      </w:r>
      <w:r w:rsidR="00C90DF2" w:rsidRPr="006E2046">
        <w:rPr>
          <w:rFonts w:ascii="Times New Roman" w:hAnsi="Times New Roman" w:cs="Times New Roman"/>
          <w:sz w:val="24"/>
          <w:szCs w:val="24"/>
        </w:rPr>
        <w:t>., 36 AD3d 867, 867 [2d Dept 2007]). The trier of fact is free to disbelieve these facts, even though no contrary proof is offered by the adverse party. (</w:t>
      </w:r>
      <w:r w:rsidR="00C90DF2" w:rsidRPr="006E2046">
        <w:rPr>
          <w:rFonts w:ascii="Times New Roman" w:hAnsi="Times New Roman" w:cs="Times New Roman"/>
          <w:i/>
          <w:iCs/>
          <w:sz w:val="24"/>
          <w:szCs w:val="24"/>
        </w:rPr>
        <w:t>Id</w:t>
      </w:r>
      <w:r w:rsidR="00C90DF2" w:rsidRPr="006E2046">
        <w:rPr>
          <w:rFonts w:ascii="Times New Roman" w:hAnsi="Times New Roman" w:cs="Times New Roman"/>
          <w:sz w:val="24"/>
          <w:szCs w:val="24"/>
        </w:rPr>
        <w:t>.)</w:t>
      </w:r>
    </w:p>
    <w:p w14:paraId="47A0638D" w14:textId="7D683A9F" w:rsidR="00F42622" w:rsidRPr="006E2046" w:rsidRDefault="00F42622" w:rsidP="000D7330">
      <w:pPr>
        <w:shd w:val="clear" w:color="auto" w:fill="FFFFFF"/>
        <w:spacing w:after="0" w:line="276" w:lineRule="auto"/>
        <w:jc w:val="both"/>
        <w:rPr>
          <w:rFonts w:ascii="Times New Roman" w:hAnsi="Times New Roman" w:cs="Times New Roman"/>
          <w:sz w:val="24"/>
          <w:szCs w:val="24"/>
        </w:rPr>
      </w:pPr>
    </w:p>
    <w:p w14:paraId="689FAEB6" w14:textId="229DD21C" w:rsidR="00A839F6" w:rsidRPr="006E2046" w:rsidRDefault="00E64D08" w:rsidP="000D7330">
      <w:pPr>
        <w:shd w:val="clear" w:color="auto" w:fill="FFFFFF"/>
        <w:tabs>
          <w:tab w:val="left" w:pos="720"/>
        </w:tabs>
        <w:spacing w:after="0" w:line="276" w:lineRule="auto"/>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rPr>
        <w:tab/>
      </w:r>
      <w:r w:rsidR="00933AF2" w:rsidRPr="006E2046">
        <w:rPr>
          <w:rFonts w:ascii="Times New Roman" w:hAnsi="Times New Roman" w:cs="Times New Roman"/>
          <w:sz w:val="24"/>
          <w:szCs w:val="24"/>
        </w:rPr>
        <w:t>Admissibility of the record under the common</w:t>
      </w:r>
      <w:r w:rsidR="002675EF" w:rsidRPr="006E2046">
        <w:rPr>
          <w:rFonts w:ascii="Times New Roman" w:hAnsi="Times New Roman" w:cs="Times New Roman"/>
          <w:sz w:val="24"/>
          <w:szCs w:val="24"/>
        </w:rPr>
        <w:t>-</w:t>
      </w:r>
      <w:r w:rsidR="00933AF2" w:rsidRPr="006E2046">
        <w:rPr>
          <w:rFonts w:ascii="Times New Roman" w:hAnsi="Times New Roman" w:cs="Times New Roman"/>
          <w:sz w:val="24"/>
          <w:szCs w:val="24"/>
        </w:rPr>
        <w:t>law rule does not satisfy the authentication requirement</w:t>
      </w:r>
      <w:r w:rsidR="00F914E3" w:rsidRPr="006E2046">
        <w:rPr>
          <w:rFonts w:ascii="Times New Roman" w:hAnsi="Times New Roman" w:cs="Times New Roman"/>
          <w:sz w:val="24"/>
          <w:szCs w:val="24"/>
        </w:rPr>
        <w:t xml:space="preserve">. </w:t>
      </w:r>
      <w:r w:rsidR="00A839F6" w:rsidRPr="006E2046">
        <w:rPr>
          <w:rFonts w:ascii="Times New Roman" w:hAnsi="Times New Roman" w:cs="Times New Roman"/>
          <w:sz w:val="24"/>
          <w:szCs w:val="24"/>
        </w:rPr>
        <w:t xml:space="preserve">If the original record is introduced, </w:t>
      </w:r>
      <w:r w:rsidR="00A839F6" w:rsidRPr="006E2046">
        <w:rPr>
          <w:rFonts w:ascii="Times New Roman" w:hAnsi="Times New Roman" w:cs="Times New Roman"/>
          <w:sz w:val="24"/>
          <w:szCs w:val="24"/>
          <w:shd w:val="clear" w:color="auto" w:fill="FFFFFF"/>
        </w:rPr>
        <w:t>the authentication requirement will be deemed satisfied pursuant to CPLR 4540</w:t>
      </w:r>
      <w:r w:rsidR="002675EF" w:rsidRPr="006E2046">
        <w:rPr>
          <w:rFonts w:ascii="Times New Roman" w:hAnsi="Times New Roman" w:cs="Times New Roman"/>
          <w:sz w:val="24"/>
          <w:szCs w:val="24"/>
          <w:shd w:val="clear" w:color="auto" w:fill="FFFFFF"/>
        </w:rPr>
        <w:t xml:space="preserve"> </w:t>
      </w:r>
      <w:r w:rsidR="00A839F6" w:rsidRPr="006E2046">
        <w:rPr>
          <w:rFonts w:ascii="Times New Roman" w:hAnsi="Times New Roman" w:cs="Times New Roman"/>
          <w:sz w:val="24"/>
          <w:szCs w:val="24"/>
          <w:shd w:val="clear" w:color="auto" w:fill="FFFFFF"/>
        </w:rPr>
        <w:t>(a)</w:t>
      </w:r>
      <w:r w:rsidR="002675EF" w:rsidRPr="006E2046">
        <w:rPr>
          <w:rFonts w:ascii="Times New Roman" w:hAnsi="Times New Roman" w:cs="Times New Roman"/>
          <w:sz w:val="24"/>
          <w:szCs w:val="24"/>
          <w:shd w:val="clear" w:color="auto" w:fill="FFFFFF"/>
        </w:rPr>
        <w:t>.</w:t>
      </w:r>
      <w:r w:rsidR="00A839F6" w:rsidRPr="006E2046">
        <w:rPr>
          <w:rFonts w:ascii="Times New Roman" w:hAnsi="Times New Roman" w:cs="Times New Roman"/>
          <w:sz w:val="24"/>
          <w:szCs w:val="24"/>
          <w:shd w:val="clear" w:color="auto" w:fill="FFFFFF"/>
        </w:rPr>
        <w:t xml:space="preserve"> (</w:t>
      </w:r>
      <w:r w:rsidR="00A839F6" w:rsidRPr="006E2046">
        <w:rPr>
          <w:rFonts w:ascii="Times New Roman" w:hAnsi="Times New Roman" w:cs="Times New Roman"/>
          <w:i/>
          <w:sz w:val="24"/>
          <w:szCs w:val="24"/>
          <w:shd w:val="clear" w:color="auto" w:fill="FFFFFF"/>
        </w:rPr>
        <w:t>See</w:t>
      </w:r>
      <w:r w:rsidR="00A839F6" w:rsidRPr="006E2046">
        <w:rPr>
          <w:rFonts w:ascii="Times New Roman" w:hAnsi="Times New Roman" w:cs="Times New Roman"/>
          <w:sz w:val="24"/>
          <w:szCs w:val="24"/>
          <w:shd w:val="clear" w:color="auto" w:fill="FFFFFF"/>
        </w:rPr>
        <w:t xml:space="preserve"> GNYE 9.08; </w:t>
      </w:r>
      <w:r w:rsidR="00A839F6" w:rsidRPr="006E2046">
        <w:rPr>
          <w:rFonts w:ascii="Times New Roman" w:hAnsi="Times New Roman" w:cs="Times New Roman"/>
          <w:i/>
          <w:sz w:val="24"/>
          <w:szCs w:val="24"/>
          <w:shd w:val="clear" w:color="auto" w:fill="FFFFFF"/>
        </w:rPr>
        <w:t>People v Smith</w:t>
      </w:r>
      <w:r w:rsidR="00A839F6" w:rsidRPr="006E2046">
        <w:rPr>
          <w:rFonts w:ascii="Times New Roman" w:hAnsi="Times New Roman" w:cs="Times New Roman"/>
          <w:iCs/>
          <w:sz w:val="24"/>
          <w:szCs w:val="24"/>
          <w:shd w:val="clear" w:color="auto" w:fill="FFFFFF"/>
        </w:rPr>
        <w:t>,</w:t>
      </w:r>
      <w:r w:rsidR="00A839F6" w:rsidRPr="006E2046">
        <w:rPr>
          <w:rFonts w:ascii="Times New Roman" w:hAnsi="Times New Roman" w:cs="Times New Roman"/>
          <w:sz w:val="24"/>
          <w:szCs w:val="24"/>
          <w:shd w:val="clear" w:color="auto" w:fill="FFFFFF"/>
        </w:rPr>
        <w:t xml:space="preserve"> 258 AD2d 245, 249-250 [4</w:t>
      </w:r>
      <w:r w:rsidR="002675EF" w:rsidRPr="006E2046">
        <w:rPr>
          <w:rFonts w:ascii="Times New Roman" w:hAnsi="Times New Roman" w:cs="Times New Roman"/>
          <w:sz w:val="24"/>
          <w:szCs w:val="24"/>
          <w:shd w:val="clear" w:color="auto" w:fill="FFFFFF"/>
        </w:rPr>
        <w:t xml:space="preserve">th </w:t>
      </w:r>
      <w:r w:rsidR="00A839F6" w:rsidRPr="006E2046">
        <w:rPr>
          <w:rFonts w:ascii="Times New Roman" w:hAnsi="Times New Roman" w:cs="Times New Roman"/>
          <w:sz w:val="24"/>
          <w:szCs w:val="24"/>
          <w:shd w:val="clear" w:color="auto" w:fill="FFFFFF"/>
        </w:rPr>
        <w:t>Dept 1999]</w:t>
      </w:r>
      <w:r w:rsidR="002675EF" w:rsidRPr="006E2046">
        <w:rPr>
          <w:rFonts w:ascii="Times New Roman" w:hAnsi="Times New Roman" w:cs="Times New Roman"/>
          <w:sz w:val="24"/>
          <w:szCs w:val="24"/>
          <w:shd w:val="clear" w:color="auto" w:fill="FFFFFF"/>
        </w:rPr>
        <w:t>.</w:t>
      </w:r>
      <w:r w:rsidR="00B7278F" w:rsidRPr="006E2046">
        <w:rPr>
          <w:rFonts w:ascii="Times New Roman" w:hAnsi="Times New Roman" w:cs="Times New Roman"/>
          <w:sz w:val="24"/>
          <w:szCs w:val="24"/>
          <w:shd w:val="clear" w:color="auto" w:fill="FFFFFF"/>
        </w:rPr>
        <w:t>)</w:t>
      </w:r>
      <w:r w:rsidR="00F914E3" w:rsidRPr="006E2046">
        <w:rPr>
          <w:rFonts w:ascii="Times New Roman" w:hAnsi="Times New Roman" w:cs="Times New Roman"/>
          <w:sz w:val="24"/>
          <w:szCs w:val="24"/>
          <w:shd w:val="clear" w:color="auto" w:fill="FFFFFF"/>
        </w:rPr>
        <w:t xml:space="preserve"> </w:t>
      </w:r>
      <w:r w:rsidR="00A839F6" w:rsidRPr="006E2046">
        <w:rPr>
          <w:rFonts w:ascii="Times New Roman" w:hAnsi="Times New Roman" w:cs="Times New Roman"/>
          <w:sz w:val="24"/>
          <w:szCs w:val="24"/>
          <w:shd w:val="clear" w:color="auto" w:fill="FFFFFF"/>
        </w:rPr>
        <w:t>A proffered copy of the certificate or affidavit must comply with the attestation and certification provisions of CPLR 4540</w:t>
      </w:r>
      <w:r w:rsidR="00A16CDC" w:rsidRPr="006E2046">
        <w:rPr>
          <w:rFonts w:ascii="Times New Roman" w:hAnsi="Times New Roman" w:cs="Times New Roman"/>
          <w:sz w:val="24"/>
          <w:szCs w:val="24"/>
          <w:shd w:val="clear" w:color="auto" w:fill="FFFFFF"/>
        </w:rPr>
        <w:t xml:space="preserve"> </w:t>
      </w:r>
      <w:r w:rsidR="00A839F6" w:rsidRPr="006E2046">
        <w:rPr>
          <w:rFonts w:ascii="Times New Roman" w:hAnsi="Times New Roman" w:cs="Times New Roman"/>
          <w:sz w:val="24"/>
          <w:szCs w:val="24"/>
          <w:shd w:val="clear" w:color="auto" w:fill="FFFFFF"/>
        </w:rPr>
        <w:t>(a)-(b)</w:t>
      </w:r>
      <w:r w:rsidR="002675EF" w:rsidRPr="006E2046">
        <w:rPr>
          <w:rFonts w:ascii="Times New Roman" w:hAnsi="Times New Roman" w:cs="Times New Roman"/>
          <w:sz w:val="24"/>
          <w:szCs w:val="24"/>
          <w:shd w:val="clear" w:color="auto" w:fill="FFFFFF"/>
        </w:rPr>
        <w:t>.</w:t>
      </w:r>
      <w:r w:rsidR="00A839F6" w:rsidRPr="006E2046">
        <w:rPr>
          <w:rFonts w:ascii="Times New Roman" w:hAnsi="Times New Roman" w:cs="Times New Roman"/>
          <w:sz w:val="24"/>
          <w:szCs w:val="24"/>
          <w:shd w:val="clear" w:color="auto" w:fill="FFFFFF"/>
        </w:rPr>
        <w:t xml:space="preserve"> (</w:t>
      </w:r>
      <w:r w:rsidR="00A839F6" w:rsidRPr="006E2046">
        <w:rPr>
          <w:rFonts w:ascii="Times New Roman" w:hAnsi="Times New Roman" w:cs="Times New Roman"/>
          <w:i/>
          <w:sz w:val="24"/>
          <w:szCs w:val="24"/>
          <w:shd w:val="clear" w:color="auto" w:fill="FFFFFF"/>
        </w:rPr>
        <w:t>See</w:t>
      </w:r>
      <w:r w:rsidR="00A839F6" w:rsidRPr="006E2046">
        <w:rPr>
          <w:rFonts w:ascii="Times New Roman" w:hAnsi="Times New Roman" w:cs="Times New Roman"/>
          <w:sz w:val="24"/>
          <w:szCs w:val="24"/>
          <w:shd w:val="clear" w:color="auto" w:fill="FFFFFF"/>
        </w:rPr>
        <w:t> GNYE 9.08</w:t>
      </w:r>
      <w:r w:rsidR="00B7278F" w:rsidRPr="006E2046">
        <w:rPr>
          <w:rFonts w:ascii="Times New Roman" w:hAnsi="Times New Roman" w:cs="Times New Roman"/>
          <w:sz w:val="24"/>
          <w:szCs w:val="24"/>
          <w:shd w:val="clear" w:color="auto" w:fill="FFFFFF"/>
        </w:rPr>
        <w:t xml:space="preserve">, </w:t>
      </w:r>
      <w:r w:rsidR="00B7278F" w:rsidRPr="006E2046">
        <w:rPr>
          <w:rFonts w:ascii="Times New Roman" w:hAnsi="Times New Roman" w:cs="Times New Roman"/>
          <w:sz w:val="24"/>
          <w:szCs w:val="24"/>
        </w:rPr>
        <w:t>Self-Authenticating Evidence</w:t>
      </w:r>
      <w:r w:rsidR="002675EF" w:rsidRPr="006E2046">
        <w:rPr>
          <w:rFonts w:ascii="Times New Roman" w:hAnsi="Times New Roman" w:cs="Times New Roman"/>
          <w:sz w:val="24"/>
          <w:szCs w:val="24"/>
        </w:rPr>
        <w:t>.</w:t>
      </w:r>
      <w:r w:rsidR="00A839F6" w:rsidRPr="006E2046">
        <w:rPr>
          <w:rFonts w:ascii="Times New Roman" w:hAnsi="Times New Roman" w:cs="Times New Roman"/>
          <w:sz w:val="24"/>
          <w:szCs w:val="24"/>
          <w:shd w:val="clear" w:color="auto" w:fill="FFFFFF"/>
        </w:rPr>
        <w:t>)</w:t>
      </w:r>
    </w:p>
    <w:p w14:paraId="159A32DB" w14:textId="77777777" w:rsidR="00887AA6" w:rsidRPr="006E2046" w:rsidRDefault="00887AA6" w:rsidP="000D7330">
      <w:pPr>
        <w:shd w:val="clear" w:color="auto" w:fill="FFFFFF"/>
        <w:spacing w:after="0" w:line="276" w:lineRule="auto"/>
        <w:jc w:val="both"/>
        <w:rPr>
          <w:rFonts w:ascii="Times New Roman" w:hAnsi="Times New Roman" w:cs="Times New Roman"/>
          <w:sz w:val="24"/>
          <w:szCs w:val="24"/>
          <w:shd w:val="clear" w:color="auto" w:fill="FFFFFF"/>
        </w:rPr>
      </w:pPr>
    </w:p>
    <w:p w14:paraId="29510356" w14:textId="519C27C5" w:rsidR="00C81311" w:rsidRPr="006E2046" w:rsidRDefault="00C81311" w:rsidP="000D7330">
      <w:pPr>
        <w:spacing w:after="0" w:line="276" w:lineRule="auto"/>
        <w:jc w:val="center"/>
        <w:rPr>
          <w:rFonts w:ascii="Times New Roman" w:hAnsi="Times New Roman" w:cs="Times New Roman"/>
          <w:b/>
          <w:bCs/>
          <w:sz w:val="24"/>
          <w:szCs w:val="24"/>
        </w:rPr>
      </w:pPr>
      <w:r w:rsidRPr="006E2046">
        <w:rPr>
          <w:rFonts w:ascii="Times New Roman" w:hAnsi="Times New Roman" w:cs="Times New Roman"/>
          <w:b/>
          <w:bCs/>
          <w:sz w:val="24"/>
          <w:szCs w:val="24"/>
        </w:rPr>
        <w:t>Investigative Report</w:t>
      </w:r>
      <w:r w:rsidR="006406DD" w:rsidRPr="006E2046">
        <w:rPr>
          <w:rFonts w:ascii="Times New Roman" w:hAnsi="Times New Roman" w:cs="Times New Roman"/>
          <w:b/>
          <w:bCs/>
          <w:sz w:val="24"/>
          <w:szCs w:val="24"/>
        </w:rPr>
        <w:t xml:space="preserve">s </w:t>
      </w:r>
      <w:r w:rsidR="00ED11C8" w:rsidRPr="006E2046">
        <w:rPr>
          <w:rFonts w:ascii="Times New Roman" w:hAnsi="Times New Roman" w:cs="Times New Roman"/>
          <w:b/>
          <w:bCs/>
          <w:sz w:val="24"/>
          <w:szCs w:val="24"/>
        </w:rPr>
        <w:t>P</w:t>
      </w:r>
      <w:r w:rsidR="006406DD" w:rsidRPr="006E2046">
        <w:rPr>
          <w:rFonts w:ascii="Times New Roman" w:hAnsi="Times New Roman" w:cs="Times New Roman"/>
          <w:b/>
          <w:bCs/>
          <w:sz w:val="24"/>
          <w:szCs w:val="24"/>
        </w:rPr>
        <w:t>er CPLR 4520 &amp; Common Law</w:t>
      </w:r>
    </w:p>
    <w:p w14:paraId="2A8AEC04" w14:textId="77777777" w:rsidR="00E64D08" w:rsidRPr="006E2046" w:rsidRDefault="00E64D08" w:rsidP="000D7330">
      <w:pPr>
        <w:spacing w:after="0" w:line="276" w:lineRule="auto"/>
        <w:rPr>
          <w:rFonts w:ascii="Times New Roman" w:hAnsi="Times New Roman" w:cs="Times New Roman"/>
          <w:sz w:val="24"/>
          <w:szCs w:val="24"/>
        </w:rPr>
      </w:pPr>
    </w:p>
    <w:p w14:paraId="23F9B3CA" w14:textId="6D01E836" w:rsidR="00C81311" w:rsidRPr="006E2046" w:rsidRDefault="00C81311" w:rsidP="000D7330">
      <w:pPr>
        <w:spacing w:after="0" w:line="276" w:lineRule="auto"/>
        <w:jc w:val="both"/>
        <w:rPr>
          <w:rFonts w:ascii="Times New Roman" w:hAnsi="Times New Roman" w:cs="Times New Roman"/>
          <w:sz w:val="24"/>
          <w:szCs w:val="24"/>
        </w:rPr>
      </w:pPr>
      <w:r w:rsidRPr="006E2046">
        <w:rPr>
          <w:rFonts w:ascii="Times New Roman" w:hAnsi="Times New Roman" w:cs="Times New Roman"/>
          <w:b/>
          <w:bCs/>
          <w:sz w:val="24"/>
          <w:szCs w:val="24"/>
        </w:rPr>
        <w:tab/>
      </w:r>
      <w:r w:rsidRPr="006E2046">
        <w:rPr>
          <w:rFonts w:ascii="Times New Roman" w:hAnsi="Times New Roman" w:cs="Times New Roman"/>
          <w:sz w:val="24"/>
          <w:szCs w:val="24"/>
        </w:rPr>
        <w:t xml:space="preserve">Government bodies charged with investigating a particular product or occurrence may produce a public document detailing its </w:t>
      </w:r>
      <w:r w:rsidR="00501729" w:rsidRPr="006E2046">
        <w:rPr>
          <w:rFonts w:ascii="Times New Roman" w:hAnsi="Times New Roman" w:cs="Times New Roman"/>
          <w:sz w:val="24"/>
          <w:szCs w:val="24"/>
        </w:rPr>
        <w:t xml:space="preserve">investigatory </w:t>
      </w:r>
      <w:r w:rsidRPr="006E2046">
        <w:rPr>
          <w:rFonts w:ascii="Times New Roman" w:hAnsi="Times New Roman" w:cs="Times New Roman"/>
          <w:sz w:val="24"/>
          <w:szCs w:val="24"/>
        </w:rPr>
        <w:t xml:space="preserve">procedures and fact findings and stating a conclusion as to the safety of a product or cause of an occurrence and perhaps the party responsible for </w:t>
      </w:r>
      <w:r w:rsidR="00FA2FE5" w:rsidRPr="006E2046">
        <w:rPr>
          <w:rFonts w:ascii="Times New Roman" w:hAnsi="Times New Roman" w:cs="Times New Roman"/>
          <w:sz w:val="24"/>
          <w:szCs w:val="24"/>
        </w:rPr>
        <w:t>an</w:t>
      </w:r>
      <w:r w:rsidRPr="006E2046">
        <w:rPr>
          <w:rFonts w:ascii="Times New Roman" w:hAnsi="Times New Roman" w:cs="Times New Roman"/>
          <w:sz w:val="24"/>
          <w:szCs w:val="24"/>
        </w:rPr>
        <w:t xml:space="preserve"> occurrence</w:t>
      </w:r>
      <w:r w:rsidR="00F914E3" w:rsidRPr="006E2046">
        <w:rPr>
          <w:rFonts w:ascii="Times New Roman" w:hAnsi="Times New Roman" w:cs="Times New Roman"/>
          <w:sz w:val="24"/>
          <w:szCs w:val="24"/>
        </w:rPr>
        <w:t xml:space="preserve">. </w:t>
      </w:r>
      <w:r w:rsidRPr="006E2046">
        <w:rPr>
          <w:rFonts w:ascii="Times New Roman" w:hAnsi="Times New Roman" w:cs="Times New Roman"/>
          <w:sz w:val="24"/>
          <w:szCs w:val="24"/>
        </w:rPr>
        <w:t>These documents inevitably contain multiple hearsay statements</w:t>
      </w:r>
      <w:r w:rsidR="00F914E3" w:rsidRPr="006E2046">
        <w:rPr>
          <w:rFonts w:ascii="Times New Roman" w:hAnsi="Times New Roman" w:cs="Times New Roman"/>
          <w:sz w:val="24"/>
          <w:szCs w:val="24"/>
        </w:rPr>
        <w:t xml:space="preserve">. </w:t>
      </w:r>
    </w:p>
    <w:p w14:paraId="1D64EBB6" w14:textId="77777777" w:rsidR="00E64D08" w:rsidRPr="006E2046" w:rsidRDefault="00E64D08" w:rsidP="000D7330">
      <w:pPr>
        <w:spacing w:after="0" w:line="276" w:lineRule="auto"/>
        <w:jc w:val="both"/>
        <w:rPr>
          <w:rFonts w:ascii="Times New Roman" w:hAnsi="Times New Roman" w:cs="Times New Roman"/>
          <w:sz w:val="24"/>
          <w:szCs w:val="24"/>
        </w:rPr>
      </w:pPr>
    </w:p>
    <w:p w14:paraId="4882B57A" w14:textId="7C621DA8" w:rsidR="003121D6" w:rsidRPr="006E2046" w:rsidRDefault="00C81311" w:rsidP="000D7330">
      <w:pPr>
        <w:spacing w:after="0" w:line="276" w:lineRule="auto"/>
        <w:jc w:val="both"/>
        <w:rPr>
          <w:rFonts w:ascii="Times New Roman" w:hAnsi="Times New Roman" w:cs="Times New Roman"/>
          <w:sz w:val="24"/>
          <w:szCs w:val="24"/>
          <w:shd w:val="clear" w:color="auto" w:fill="FFFFFF"/>
        </w:rPr>
      </w:pPr>
      <w:bookmarkStart w:id="6" w:name="OLE_LINK3"/>
      <w:r w:rsidRPr="006E2046">
        <w:rPr>
          <w:rFonts w:ascii="Times New Roman" w:hAnsi="Times New Roman" w:cs="Times New Roman"/>
          <w:bCs/>
          <w:sz w:val="24"/>
          <w:szCs w:val="24"/>
          <w:shd w:val="clear" w:color="auto" w:fill="FFFFFF"/>
        </w:rPr>
        <w:tab/>
      </w:r>
      <w:bookmarkStart w:id="7" w:name="OLE_LINK2"/>
      <w:r w:rsidR="00D91300" w:rsidRPr="006E2046">
        <w:rPr>
          <w:rFonts w:ascii="Times New Roman" w:eastAsia="Times New Roman" w:hAnsi="Times New Roman" w:cs="Times New Roman"/>
          <w:sz w:val="24"/>
          <w:szCs w:val="24"/>
        </w:rPr>
        <w:t xml:space="preserve">The </w:t>
      </w:r>
      <w:r w:rsidRPr="006E2046">
        <w:rPr>
          <w:rFonts w:ascii="Times New Roman" w:hAnsi="Times New Roman" w:cs="Times New Roman"/>
          <w:sz w:val="24"/>
          <w:szCs w:val="24"/>
        </w:rPr>
        <w:t>Court of Appeals has yet to address whether</w:t>
      </w:r>
      <w:r w:rsidR="00836007" w:rsidRPr="006E2046">
        <w:rPr>
          <w:rFonts w:ascii="Times New Roman" w:hAnsi="Times New Roman" w:cs="Times New Roman"/>
          <w:sz w:val="24"/>
          <w:szCs w:val="24"/>
        </w:rPr>
        <w:t xml:space="preserve"> an</w:t>
      </w:r>
      <w:r w:rsidRPr="006E2046">
        <w:rPr>
          <w:rFonts w:ascii="Times New Roman" w:hAnsi="Times New Roman" w:cs="Times New Roman"/>
          <w:sz w:val="24"/>
          <w:szCs w:val="24"/>
        </w:rPr>
        <w:t xml:space="preserve"> investigatory report may be admissible in a civil proceeding pursuant to CPLR 4520 or the common law, and </w:t>
      </w:r>
      <w:r w:rsidR="00FE1E41" w:rsidRPr="006E2046">
        <w:rPr>
          <w:rFonts w:ascii="Times New Roman" w:hAnsi="Times New Roman" w:cs="Times New Roman"/>
          <w:sz w:val="24"/>
          <w:szCs w:val="24"/>
        </w:rPr>
        <w:t>if admissible under either rule</w:t>
      </w:r>
      <w:r w:rsidRPr="006E2046">
        <w:rPr>
          <w:rFonts w:ascii="Times New Roman" w:hAnsi="Times New Roman" w:cs="Times New Roman"/>
          <w:sz w:val="24"/>
          <w:szCs w:val="24"/>
        </w:rPr>
        <w:t xml:space="preserve">, to what extent. </w:t>
      </w:r>
    </w:p>
    <w:p w14:paraId="0D70306A" w14:textId="77777777" w:rsidR="003121D6" w:rsidRPr="006E2046" w:rsidRDefault="003121D6" w:rsidP="000D7330">
      <w:pPr>
        <w:spacing w:after="0" w:line="276" w:lineRule="auto"/>
        <w:jc w:val="both"/>
        <w:rPr>
          <w:rFonts w:ascii="Times New Roman" w:hAnsi="Times New Roman" w:cs="Times New Roman"/>
          <w:sz w:val="24"/>
          <w:szCs w:val="24"/>
          <w:shd w:val="clear" w:color="auto" w:fill="FFFFFF"/>
        </w:rPr>
      </w:pPr>
    </w:p>
    <w:bookmarkEnd w:id="6"/>
    <w:p w14:paraId="3CBF12F8" w14:textId="1A388C3B" w:rsidR="003E7BF2" w:rsidRPr="006E2046" w:rsidRDefault="00B26222" w:rsidP="000D7330">
      <w:pPr>
        <w:spacing w:after="0" w:line="276" w:lineRule="auto"/>
        <w:ind w:firstLine="720"/>
        <w:jc w:val="both"/>
        <w:rPr>
          <w:rFonts w:ascii="Times New Roman" w:hAnsi="Times New Roman" w:cs="Times New Roman"/>
          <w:sz w:val="24"/>
          <w:szCs w:val="24"/>
          <w:shd w:val="clear" w:color="auto" w:fill="FFFFFF"/>
        </w:rPr>
      </w:pPr>
      <w:r w:rsidRPr="006E2046">
        <w:rPr>
          <w:rFonts w:ascii="Times New Roman" w:hAnsi="Times New Roman" w:cs="Times New Roman"/>
          <w:sz w:val="24"/>
          <w:szCs w:val="24"/>
          <w:shd w:val="clear" w:color="auto" w:fill="FFFFFF"/>
        </w:rPr>
        <w:t xml:space="preserve">A few other courts have in principle allowed for the admissibility of “trustworthy” investigative reports. Those courts have drawn support for their </w:t>
      </w:r>
      <w:r w:rsidRPr="006E2046">
        <w:rPr>
          <w:rFonts w:ascii="Times New Roman" w:hAnsi="Times New Roman" w:cs="Times New Roman"/>
          <w:sz w:val="24"/>
          <w:szCs w:val="24"/>
          <w:shd w:val="clear" w:color="auto" w:fill="FFFFFF"/>
        </w:rPr>
        <w:lastRenderedPageBreak/>
        <w:t xml:space="preserve">decision from Federal Rules of Evidence </w:t>
      </w:r>
      <w:r w:rsidR="002675EF" w:rsidRPr="006E2046">
        <w:rPr>
          <w:rFonts w:ascii="Times New Roman" w:hAnsi="Times New Roman" w:cs="Times New Roman"/>
          <w:sz w:val="24"/>
          <w:szCs w:val="24"/>
          <w:shd w:val="clear" w:color="auto" w:fill="FFFFFF"/>
        </w:rPr>
        <w:t xml:space="preserve">rule </w:t>
      </w:r>
      <w:r w:rsidRPr="006E2046">
        <w:rPr>
          <w:rFonts w:ascii="Times New Roman" w:hAnsi="Times New Roman" w:cs="Times New Roman"/>
          <w:sz w:val="24"/>
          <w:szCs w:val="24"/>
          <w:shd w:val="clear" w:color="auto" w:fill="FFFFFF"/>
        </w:rPr>
        <w:t>803</w:t>
      </w:r>
      <w:r w:rsidR="002675EF"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 xml:space="preserve">(8) and </w:t>
      </w:r>
      <w:r w:rsidR="003E209C" w:rsidRPr="006E2046">
        <w:rPr>
          <w:rFonts w:ascii="Times New Roman" w:hAnsi="Times New Roman" w:cs="Times New Roman"/>
          <w:sz w:val="24"/>
          <w:szCs w:val="24"/>
          <w:shd w:val="clear" w:color="auto" w:fill="FFFFFF"/>
        </w:rPr>
        <w:t xml:space="preserve">may </w:t>
      </w:r>
      <w:r w:rsidRPr="006E2046">
        <w:rPr>
          <w:rFonts w:ascii="Times New Roman" w:hAnsi="Times New Roman" w:cs="Times New Roman"/>
          <w:sz w:val="24"/>
          <w:szCs w:val="24"/>
          <w:shd w:val="clear" w:color="auto" w:fill="FFFFFF"/>
        </w:rPr>
        <w:t>have thereby extended the reach of CPLR 4520 or at least the common</w:t>
      </w:r>
      <w:r w:rsidR="002675EF" w:rsidRPr="006E2046">
        <w:rPr>
          <w:rFonts w:ascii="Times New Roman" w:hAnsi="Times New Roman" w:cs="Times New Roman"/>
          <w:sz w:val="24"/>
          <w:szCs w:val="24"/>
          <w:shd w:val="clear" w:color="auto" w:fill="FFFFFF"/>
        </w:rPr>
        <w:t>-</w:t>
      </w:r>
      <w:r w:rsidRPr="006E2046">
        <w:rPr>
          <w:rFonts w:ascii="Times New Roman" w:hAnsi="Times New Roman" w:cs="Times New Roman"/>
          <w:sz w:val="24"/>
          <w:szCs w:val="24"/>
          <w:shd w:val="clear" w:color="auto" w:fill="FFFFFF"/>
        </w:rPr>
        <w:t>law</w:t>
      </w:r>
      <w:r w:rsidR="00F17968"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rule. The combination, however, of no Court of Appeals determination and few court decisions discussing the question leaves some doubt about their admissibility</w:t>
      </w:r>
      <w:r w:rsidR="003E209C" w:rsidRPr="006E2046">
        <w:rPr>
          <w:rFonts w:ascii="Times New Roman" w:hAnsi="Times New Roman" w:cs="Times New Roman"/>
          <w:sz w:val="24"/>
          <w:szCs w:val="24"/>
          <w:shd w:val="clear" w:color="auto" w:fill="FFFFFF"/>
        </w:rPr>
        <w:t xml:space="preserve"> </w:t>
      </w:r>
      <w:r w:rsidRPr="006E2046">
        <w:rPr>
          <w:rFonts w:ascii="Times New Roman" w:hAnsi="Times New Roman" w:cs="Times New Roman"/>
          <w:sz w:val="24"/>
          <w:szCs w:val="24"/>
          <w:shd w:val="clear" w:color="auto" w:fill="FFFFFF"/>
        </w:rPr>
        <w:t>and their parameters</w:t>
      </w:r>
      <w:r w:rsidR="003E209C" w:rsidRPr="006E2046">
        <w:rPr>
          <w:rFonts w:ascii="Times New Roman" w:hAnsi="Times New Roman" w:cs="Times New Roman"/>
          <w:sz w:val="24"/>
          <w:szCs w:val="24"/>
          <w:shd w:val="clear" w:color="auto" w:fill="FFFFFF"/>
        </w:rPr>
        <w:t xml:space="preserve"> </w:t>
      </w:r>
      <w:r w:rsidR="00735A12" w:rsidRPr="006E2046">
        <w:rPr>
          <w:rFonts w:ascii="Times New Roman" w:hAnsi="Times New Roman" w:cs="Times New Roman"/>
          <w:sz w:val="24"/>
          <w:szCs w:val="24"/>
          <w:shd w:val="clear" w:color="auto" w:fill="FFFFFF"/>
        </w:rPr>
        <w:t>if they are</w:t>
      </w:r>
      <w:r w:rsidR="003E209C" w:rsidRPr="006E2046">
        <w:rPr>
          <w:rFonts w:ascii="Times New Roman" w:hAnsi="Times New Roman" w:cs="Times New Roman"/>
          <w:sz w:val="24"/>
          <w:szCs w:val="24"/>
          <w:shd w:val="clear" w:color="auto" w:fill="FFFFFF"/>
        </w:rPr>
        <w:t xml:space="preserve"> admissible</w:t>
      </w:r>
      <w:r w:rsidR="0053720A" w:rsidRPr="006E2046">
        <w:rPr>
          <w:rFonts w:ascii="Times New Roman" w:hAnsi="Times New Roman" w:cs="Times New Roman"/>
          <w:sz w:val="24"/>
          <w:szCs w:val="24"/>
          <w:shd w:val="clear" w:color="auto" w:fill="FFFFFF"/>
        </w:rPr>
        <w:t>.</w:t>
      </w:r>
    </w:p>
    <w:p w14:paraId="20B43DBB" w14:textId="77777777" w:rsidR="00E64D08" w:rsidRPr="006E2046" w:rsidRDefault="00E64D08" w:rsidP="000D7330">
      <w:pPr>
        <w:spacing w:after="0" w:line="276" w:lineRule="auto"/>
        <w:jc w:val="both"/>
        <w:rPr>
          <w:rFonts w:ascii="Times New Roman" w:hAnsi="Times New Roman" w:cs="Times New Roman"/>
          <w:sz w:val="24"/>
          <w:szCs w:val="24"/>
        </w:rPr>
      </w:pPr>
    </w:p>
    <w:bookmarkEnd w:id="7"/>
    <w:p w14:paraId="42A39D6B" w14:textId="5C7093AE" w:rsidR="00B63A67" w:rsidRPr="006E2046" w:rsidRDefault="003E7BF2" w:rsidP="000D7330">
      <w:pPr>
        <w:shd w:val="clear" w:color="auto" w:fill="FFFFFF"/>
        <w:spacing w:after="0" w:line="276" w:lineRule="auto"/>
        <w:jc w:val="both"/>
        <w:rPr>
          <w:rFonts w:ascii="Times New Roman" w:eastAsia="Times New Roman" w:hAnsi="Times New Roman" w:cs="Times New Roman"/>
          <w:sz w:val="24"/>
          <w:szCs w:val="24"/>
        </w:rPr>
      </w:pPr>
      <w:r w:rsidRPr="006E2046">
        <w:rPr>
          <w:rFonts w:ascii="Times New Roman" w:eastAsia="Times New Roman" w:hAnsi="Times New Roman" w:cs="Times New Roman"/>
          <w:sz w:val="24"/>
          <w:szCs w:val="24"/>
        </w:rPr>
        <w:tab/>
      </w:r>
      <w:r w:rsidR="004F7581" w:rsidRPr="006E2046">
        <w:rPr>
          <w:rFonts w:ascii="Times New Roman" w:eastAsia="Times New Roman" w:hAnsi="Times New Roman" w:cs="Times New Roman"/>
          <w:sz w:val="24"/>
          <w:szCs w:val="24"/>
        </w:rPr>
        <w:t>I</w:t>
      </w:r>
      <w:r w:rsidR="00C81311" w:rsidRPr="006E2046">
        <w:rPr>
          <w:rFonts w:ascii="Times New Roman" w:eastAsia="Times New Roman" w:hAnsi="Times New Roman" w:cs="Times New Roman"/>
          <w:sz w:val="24"/>
          <w:szCs w:val="24"/>
        </w:rPr>
        <w:t xml:space="preserve">n </w:t>
      </w:r>
      <w:r w:rsidR="00C81311" w:rsidRPr="006E2046">
        <w:rPr>
          <w:rFonts w:ascii="Times New Roman" w:hAnsi="Times New Roman" w:cs="Times New Roman"/>
          <w:sz w:val="24"/>
          <w:szCs w:val="24"/>
        </w:rPr>
        <w:t xml:space="preserve">a personal injury action that charged the manufacturer of a Harley Davidson motorcycle </w:t>
      </w:r>
      <w:r w:rsidR="00C81311" w:rsidRPr="006E2046">
        <w:rPr>
          <w:rFonts w:ascii="Times New Roman" w:hAnsi="Times New Roman" w:cs="Times New Roman"/>
          <w:sz w:val="24"/>
          <w:szCs w:val="24"/>
          <w:shd w:val="clear" w:color="auto" w:fill="FFFFFF"/>
        </w:rPr>
        <w:t xml:space="preserve">with </w:t>
      </w:r>
      <w:r w:rsidR="00C81311" w:rsidRPr="006E2046">
        <w:rPr>
          <w:rFonts w:ascii="Times New Roman" w:eastAsia="Times New Roman" w:hAnsi="Times New Roman" w:cs="Times New Roman"/>
          <w:sz w:val="24"/>
          <w:szCs w:val="24"/>
        </w:rPr>
        <w:t>defective design and manufacture</w:t>
      </w:r>
      <w:r w:rsidR="004F7581" w:rsidRPr="006E2046">
        <w:rPr>
          <w:rFonts w:ascii="Times New Roman" w:eastAsia="Times New Roman" w:hAnsi="Times New Roman" w:cs="Times New Roman"/>
          <w:sz w:val="24"/>
          <w:szCs w:val="24"/>
        </w:rPr>
        <w:t xml:space="preserve">, the </w:t>
      </w:r>
      <w:r w:rsidR="00C81311" w:rsidRPr="006E2046">
        <w:rPr>
          <w:rFonts w:ascii="Times New Roman" w:eastAsia="Times New Roman" w:hAnsi="Times New Roman" w:cs="Times New Roman"/>
          <w:sz w:val="24"/>
          <w:szCs w:val="24"/>
        </w:rPr>
        <w:t>trial court, over objection, permitted the plaintiff to introduce a favorable National Highway Traffic Safety Administration study of the motorcycle</w:t>
      </w:r>
      <w:r w:rsidR="00F914E3" w:rsidRPr="006E2046">
        <w:rPr>
          <w:rFonts w:ascii="Times New Roman" w:eastAsia="Times New Roman" w:hAnsi="Times New Roman" w:cs="Times New Roman"/>
          <w:sz w:val="24"/>
          <w:szCs w:val="24"/>
        </w:rPr>
        <w:t xml:space="preserve">. </w:t>
      </w:r>
      <w:r w:rsidR="004F7581" w:rsidRPr="006E2046">
        <w:rPr>
          <w:rFonts w:ascii="Times New Roman" w:eastAsia="Times New Roman" w:hAnsi="Times New Roman" w:cs="Times New Roman"/>
          <w:sz w:val="24"/>
          <w:szCs w:val="24"/>
        </w:rPr>
        <w:t xml:space="preserve">On appeal, </w:t>
      </w:r>
      <w:r w:rsidR="004F7581" w:rsidRPr="006E2046">
        <w:rPr>
          <w:rFonts w:ascii="Times New Roman" w:eastAsia="Times New Roman" w:hAnsi="Times New Roman" w:cs="Times New Roman"/>
          <w:i/>
          <w:sz w:val="24"/>
          <w:szCs w:val="24"/>
          <w:bdr w:val="none" w:sz="0" w:space="0" w:color="auto" w:frame="1"/>
        </w:rPr>
        <w:t>Cramer v Kuhns</w:t>
      </w:r>
      <w:r w:rsidR="004F7581" w:rsidRPr="006E2046">
        <w:rPr>
          <w:rFonts w:ascii="Times New Roman" w:eastAsia="Times New Roman" w:hAnsi="Times New Roman" w:cs="Times New Roman"/>
          <w:sz w:val="24"/>
          <w:szCs w:val="24"/>
        </w:rPr>
        <w:t xml:space="preserve"> </w:t>
      </w:r>
      <w:r w:rsidR="002675EF" w:rsidRPr="006E2046">
        <w:rPr>
          <w:rFonts w:ascii="Times New Roman" w:eastAsia="Times New Roman" w:hAnsi="Times New Roman" w:cs="Times New Roman"/>
          <w:sz w:val="24"/>
          <w:szCs w:val="24"/>
        </w:rPr>
        <w:t>(</w:t>
      </w:r>
      <w:r w:rsidR="004F7581" w:rsidRPr="006E2046">
        <w:rPr>
          <w:rFonts w:ascii="Times New Roman" w:eastAsia="Times New Roman" w:hAnsi="Times New Roman" w:cs="Times New Roman"/>
          <w:sz w:val="24"/>
          <w:szCs w:val="24"/>
        </w:rPr>
        <w:t>213 AD2d 131 [3d Dept 1995]</w:t>
      </w:r>
      <w:r w:rsidR="002675EF" w:rsidRPr="006E2046">
        <w:rPr>
          <w:rFonts w:ascii="Times New Roman" w:eastAsia="Times New Roman" w:hAnsi="Times New Roman" w:cs="Times New Roman"/>
          <w:sz w:val="24"/>
          <w:szCs w:val="24"/>
        </w:rPr>
        <w:t>)</w:t>
      </w:r>
      <w:r w:rsidR="004F7581" w:rsidRPr="006E2046">
        <w:rPr>
          <w:rFonts w:ascii="Times New Roman" w:eastAsia="Times New Roman" w:hAnsi="Times New Roman" w:cs="Times New Roman"/>
          <w:sz w:val="24"/>
          <w:szCs w:val="24"/>
        </w:rPr>
        <w:t xml:space="preserve"> </w:t>
      </w:r>
      <w:r w:rsidR="00366A0D" w:rsidRPr="006E2046">
        <w:rPr>
          <w:rFonts w:ascii="Times New Roman" w:eastAsia="Times New Roman" w:hAnsi="Times New Roman" w:cs="Times New Roman"/>
          <w:sz w:val="24"/>
          <w:szCs w:val="24"/>
        </w:rPr>
        <w:t>discussed whether the study was admissible pursuant to CPLR 4520</w:t>
      </w:r>
      <w:r w:rsidR="00046D78" w:rsidRPr="006E2046">
        <w:rPr>
          <w:rFonts w:ascii="Times New Roman" w:eastAsia="Times New Roman" w:hAnsi="Times New Roman" w:cs="Times New Roman"/>
          <w:sz w:val="24"/>
          <w:szCs w:val="24"/>
        </w:rPr>
        <w:t xml:space="preserve">. </w:t>
      </w:r>
      <w:r w:rsidR="00366A0D" w:rsidRPr="006E2046">
        <w:rPr>
          <w:rFonts w:ascii="Times New Roman" w:eastAsia="Times New Roman" w:hAnsi="Times New Roman" w:cs="Times New Roman"/>
          <w:sz w:val="24"/>
          <w:szCs w:val="24"/>
        </w:rPr>
        <w:t>The Court</w:t>
      </w:r>
      <w:r w:rsidR="00593BEE" w:rsidRPr="006E2046">
        <w:rPr>
          <w:rFonts w:ascii="Times New Roman" w:eastAsia="Times New Roman" w:hAnsi="Times New Roman" w:cs="Times New Roman"/>
          <w:sz w:val="24"/>
          <w:szCs w:val="24"/>
        </w:rPr>
        <w:t>, however,</w:t>
      </w:r>
      <w:r w:rsidR="00366A0D" w:rsidRPr="006E2046">
        <w:rPr>
          <w:rFonts w:ascii="Times New Roman" w:eastAsia="Times New Roman" w:hAnsi="Times New Roman" w:cs="Times New Roman"/>
          <w:sz w:val="24"/>
          <w:szCs w:val="24"/>
        </w:rPr>
        <w:t xml:space="preserve"> did </w:t>
      </w:r>
      <w:r w:rsidR="00C81311" w:rsidRPr="006E2046">
        <w:rPr>
          <w:rFonts w:ascii="Times New Roman" w:eastAsia="Times New Roman" w:hAnsi="Times New Roman" w:cs="Times New Roman"/>
          <w:sz w:val="24"/>
          <w:szCs w:val="24"/>
        </w:rPr>
        <w:t xml:space="preserve">not </w:t>
      </w:r>
      <w:r w:rsidR="00AB50DD" w:rsidRPr="006E2046">
        <w:rPr>
          <w:rFonts w:ascii="Times New Roman" w:eastAsia="Times New Roman" w:hAnsi="Times New Roman" w:cs="Times New Roman"/>
          <w:sz w:val="24"/>
          <w:szCs w:val="24"/>
        </w:rPr>
        <w:t>state</w:t>
      </w:r>
      <w:r w:rsidR="00C81311" w:rsidRPr="006E2046">
        <w:rPr>
          <w:rFonts w:ascii="Times New Roman" w:eastAsia="Times New Roman" w:hAnsi="Times New Roman" w:cs="Times New Roman"/>
          <w:sz w:val="24"/>
          <w:szCs w:val="24"/>
        </w:rPr>
        <w:t xml:space="preserve"> whether the study met the traditional requirements of the statute</w:t>
      </w:r>
      <w:r w:rsidR="00046D78" w:rsidRPr="006E2046">
        <w:rPr>
          <w:rFonts w:ascii="Times New Roman" w:eastAsia="Times New Roman" w:hAnsi="Times New Roman" w:cs="Times New Roman"/>
          <w:sz w:val="24"/>
          <w:szCs w:val="24"/>
        </w:rPr>
        <w:t xml:space="preserve">. </w:t>
      </w:r>
      <w:r w:rsidR="001E6A38" w:rsidRPr="006E2046">
        <w:rPr>
          <w:rFonts w:ascii="Times New Roman" w:eastAsia="Times New Roman" w:hAnsi="Times New Roman" w:cs="Times New Roman"/>
          <w:sz w:val="24"/>
          <w:szCs w:val="24"/>
        </w:rPr>
        <w:t xml:space="preserve">Instead, </w:t>
      </w:r>
      <w:r w:rsidR="00C81311" w:rsidRPr="006E2046">
        <w:rPr>
          <w:rFonts w:ascii="Times New Roman" w:eastAsia="Times New Roman" w:hAnsi="Times New Roman" w:cs="Times New Roman"/>
          <w:sz w:val="24"/>
          <w:szCs w:val="24"/>
        </w:rPr>
        <w:t xml:space="preserve">the Court turned </w:t>
      </w:r>
      <w:r w:rsidR="008A62FC" w:rsidRPr="006E2046">
        <w:rPr>
          <w:rFonts w:ascii="Times New Roman" w:eastAsia="Times New Roman" w:hAnsi="Times New Roman" w:cs="Times New Roman"/>
          <w:sz w:val="24"/>
          <w:szCs w:val="24"/>
        </w:rPr>
        <w:t xml:space="preserve">for “guidance” </w:t>
      </w:r>
      <w:r w:rsidR="00C81311" w:rsidRPr="006E2046">
        <w:rPr>
          <w:rFonts w:ascii="Times New Roman" w:eastAsia="Times New Roman" w:hAnsi="Times New Roman" w:cs="Times New Roman"/>
          <w:sz w:val="24"/>
          <w:szCs w:val="24"/>
        </w:rPr>
        <w:t xml:space="preserve">to the </w:t>
      </w:r>
      <w:r w:rsidR="00466ECE" w:rsidRPr="006E2046">
        <w:rPr>
          <w:rFonts w:ascii="Times New Roman" w:eastAsia="Times New Roman" w:hAnsi="Times New Roman" w:cs="Times New Roman"/>
          <w:sz w:val="24"/>
          <w:szCs w:val="24"/>
        </w:rPr>
        <w:t xml:space="preserve">CPLR 4520 </w:t>
      </w:r>
      <w:r w:rsidR="00C81311" w:rsidRPr="006E2046">
        <w:rPr>
          <w:rFonts w:ascii="Times New Roman" w:eastAsia="Times New Roman" w:hAnsi="Times New Roman" w:cs="Times New Roman"/>
          <w:sz w:val="24"/>
          <w:szCs w:val="24"/>
        </w:rPr>
        <w:t>federal “counterpart</w:t>
      </w:r>
      <w:r w:rsidR="00466ECE"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 xml:space="preserve">” </w:t>
      </w:r>
      <w:r w:rsidR="003E28A5" w:rsidRPr="006E2046">
        <w:rPr>
          <w:rFonts w:ascii="Times New Roman" w:eastAsia="Times New Roman" w:hAnsi="Times New Roman" w:cs="Times New Roman"/>
          <w:sz w:val="24"/>
          <w:szCs w:val="24"/>
        </w:rPr>
        <w:t xml:space="preserve">namely </w:t>
      </w:r>
      <w:r w:rsidR="002675EF" w:rsidRPr="006E2046">
        <w:rPr>
          <w:rFonts w:ascii="Times New Roman" w:hAnsi="Times New Roman" w:cs="Times New Roman"/>
          <w:sz w:val="24"/>
          <w:szCs w:val="24"/>
          <w:shd w:val="clear" w:color="auto" w:fill="FFFFFF"/>
        </w:rPr>
        <w:t>Federal Rules of Evidence rule</w:t>
      </w:r>
      <w:r w:rsidR="00C81311" w:rsidRPr="006E2046">
        <w:rPr>
          <w:rFonts w:ascii="Times New Roman" w:eastAsia="Times New Roman" w:hAnsi="Times New Roman" w:cs="Times New Roman"/>
          <w:sz w:val="24"/>
          <w:szCs w:val="24"/>
        </w:rPr>
        <w:t xml:space="preserve"> 803</w:t>
      </w:r>
      <w:r w:rsidR="002675EF" w:rsidRPr="006E2046">
        <w:rPr>
          <w:rFonts w:ascii="Times New Roman" w:eastAsia="Times New Roman" w:hAnsi="Times New Roman" w:cs="Times New Roman"/>
          <w:sz w:val="24"/>
          <w:szCs w:val="24"/>
        </w:rPr>
        <w:t xml:space="preserve"> </w:t>
      </w:r>
      <w:r w:rsidR="00C81311" w:rsidRPr="006E2046">
        <w:rPr>
          <w:rFonts w:ascii="Times New Roman" w:eastAsia="Times New Roman" w:hAnsi="Times New Roman" w:cs="Times New Roman"/>
          <w:sz w:val="24"/>
          <w:szCs w:val="24"/>
        </w:rPr>
        <w:t>(8)</w:t>
      </w:r>
      <w:r w:rsidR="00466ECE" w:rsidRPr="006E2046">
        <w:rPr>
          <w:rFonts w:ascii="Times New Roman" w:eastAsia="Times New Roman" w:hAnsi="Times New Roman" w:cs="Times New Roman"/>
          <w:sz w:val="24"/>
          <w:szCs w:val="24"/>
        </w:rPr>
        <w:t>,</w:t>
      </w:r>
      <w:r w:rsidR="00120434" w:rsidRPr="006E2046">
        <w:rPr>
          <w:rFonts w:ascii="Times New Roman" w:hAnsi="Times New Roman" w:cs="Times New Roman"/>
          <w:sz w:val="24"/>
          <w:szCs w:val="24"/>
          <w:shd w:val="clear" w:color="auto" w:fill="FFFFFF"/>
        </w:rPr>
        <w:t xml:space="preserve"> </w:t>
      </w:r>
      <w:r w:rsidR="00120434" w:rsidRPr="006E2046">
        <w:rPr>
          <w:rFonts w:ascii="Times New Roman" w:hAnsi="Times New Roman" w:cs="Times New Roman"/>
          <w:sz w:val="24"/>
          <w:szCs w:val="24"/>
        </w:rPr>
        <w:t xml:space="preserve">which at the time of the decision required as </w:t>
      </w:r>
      <w:r w:rsidR="00120434" w:rsidRPr="006E2046">
        <w:rPr>
          <w:rFonts w:ascii="Times New Roman" w:eastAsia="Times New Roman" w:hAnsi="Times New Roman" w:cs="Times New Roman"/>
          <w:sz w:val="24"/>
          <w:szCs w:val="24"/>
        </w:rPr>
        <w:t>a condition of admissibility that “neither</w:t>
      </w:r>
      <w:r w:rsidR="00E64D08" w:rsidRPr="006E2046">
        <w:rPr>
          <w:rFonts w:ascii="Times New Roman" w:eastAsia="Times New Roman" w:hAnsi="Times New Roman" w:cs="Times New Roman"/>
          <w:sz w:val="24"/>
          <w:szCs w:val="24"/>
        </w:rPr>
        <w:t xml:space="preserve"> </w:t>
      </w:r>
      <w:r w:rsidR="00120434" w:rsidRPr="006E2046">
        <w:rPr>
          <w:rFonts w:ascii="Times New Roman" w:hAnsi="Times New Roman" w:cs="Times New Roman"/>
          <w:sz w:val="24"/>
          <w:szCs w:val="24"/>
          <w:shd w:val="clear" w:color="auto" w:fill="FFFFFF"/>
        </w:rPr>
        <w:t>the source of information nor other circumstances indicate a lack of trustworthiness</w:t>
      </w:r>
      <w:r w:rsidRPr="006E2046">
        <w:rPr>
          <w:rFonts w:ascii="Times New Roman" w:hAnsi="Times New Roman" w:cs="Times New Roman"/>
          <w:sz w:val="24"/>
          <w:szCs w:val="24"/>
          <w:shd w:val="clear" w:color="auto" w:fill="FFFFFF"/>
        </w:rPr>
        <w:t>.</w:t>
      </w:r>
      <w:r w:rsidR="00120434" w:rsidRPr="006E2046">
        <w:rPr>
          <w:rFonts w:ascii="Times New Roman" w:hAnsi="Times New Roman" w:cs="Times New Roman"/>
          <w:sz w:val="24"/>
          <w:szCs w:val="24"/>
          <w:shd w:val="clear" w:color="auto" w:fill="FFFFFF"/>
        </w:rPr>
        <w:t>”</w:t>
      </w:r>
      <w:r w:rsidR="00AB50DD" w:rsidRPr="006E2046">
        <w:rPr>
          <w:rFonts w:ascii="Times New Roman" w:hAnsi="Times New Roman" w:cs="Times New Roman"/>
          <w:sz w:val="24"/>
          <w:szCs w:val="24"/>
          <w:shd w:val="clear" w:color="auto" w:fill="FFFFFF"/>
        </w:rPr>
        <w:t xml:space="preserve"> </w:t>
      </w:r>
      <w:r w:rsidR="002D785E" w:rsidRPr="006E2046">
        <w:rPr>
          <w:rFonts w:ascii="Times New Roman" w:hAnsi="Times New Roman" w:cs="Times New Roman"/>
          <w:i/>
          <w:iCs/>
          <w:sz w:val="24"/>
          <w:szCs w:val="24"/>
          <w:shd w:val="clear" w:color="auto" w:fill="FFFFFF"/>
        </w:rPr>
        <w:t>Cramer</w:t>
      </w:r>
      <w:r w:rsidR="002D785E" w:rsidRPr="006E2046">
        <w:rPr>
          <w:rFonts w:ascii="Times New Roman" w:hAnsi="Times New Roman" w:cs="Times New Roman"/>
          <w:sz w:val="24"/>
          <w:szCs w:val="24"/>
          <w:shd w:val="clear" w:color="auto" w:fill="FFFFFF"/>
        </w:rPr>
        <w:t xml:space="preserve"> accordingly held an investigatory</w:t>
      </w:r>
      <w:r w:rsidR="00C81311" w:rsidRPr="006E2046">
        <w:rPr>
          <w:rFonts w:ascii="Times New Roman" w:eastAsia="Times New Roman" w:hAnsi="Times New Roman" w:cs="Times New Roman"/>
          <w:sz w:val="24"/>
          <w:szCs w:val="24"/>
        </w:rPr>
        <w:t xml:space="preserve"> report would be admissible provided the trial court was satisfied that the hearsay information “</w:t>
      </w:r>
      <w:r w:rsidR="000E4C8D" w:rsidRPr="006E2046">
        <w:rPr>
          <w:rFonts w:ascii="Times New Roman" w:eastAsia="Times New Roman" w:hAnsi="Times New Roman" w:cs="Times New Roman"/>
          <w:sz w:val="24"/>
          <w:szCs w:val="24"/>
        </w:rPr>
        <w:t xml:space="preserve"> </w:t>
      </w:r>
      <w:r w:rsidR="00C81311" w:rsidRPr="006E2046">
        <w:rPr>
          <w:rFonts w:ascii="Times New Roman" w:eastAsia="Times New Roman" w:hAnsi="Times New Roman" w:cs="Times New Roman"/>
          <w:sz w:val="24"/>
          <w:szCs w:val="24"/>
        </w:rPr>
        <w:t>‘has sufficient independent indicia of reliability to justify its admission’</w:t>
      </w:r>
      <w:r w:rsidR="000E4C8D" w:rsidRPr="006E2046">
        <w:rPr>
          <w:rFonts w:ascii="Times New Roman" w:eastAsia="Times New Roman" w:hAnsi="Times New Roman" w:cs="Times New Roman"/>
          <w:sz w:val="24"/>
          <w:szCs w:val="24"/>
        </w:rPr>
        <w:t xml:space="preserve"> </w:t>
      </w:r>
      <w:r w:rsidR="00C81311" w:rsidRPr="006E2046">
        <w:rPr>
          <w:rFonts w:ascii="Times New Roman" w:eastAsia="Times New Roman" w:hAnsi="Times New Roman" w:cs="Times New Roman"/>
          <w:sz w:val="24"/>
          <w:szCs w:val="24"/>
        </w:rPr>
        <w:t>” (</w:t>
      </w:r>
      <w:r w:rsidR="00C81311" w:rsidRPr="006E2046">
        <w:rPr>
          <w:rFonts w:ascii="Times New Roman" w:eastAsia="Times New Roman" w:hAnsi="Times New Roman" w:cs="Times New Roman"/>
          <w:i/>
          <w:sz w:val="24"/>
          <w:szCs w:val="24"/>
          <w:bdr w:val="none" w:sz="0" w:space="0" w:color="auto" w:frame="1"/>
        </w:rPr>
        <w:t>Cramer v Kuhns</w:t>
      </w:r>
      <w:r w:rsidR="00C81311" w:rsidRPr="006E2046">
        <w:rPr>
          <w:rFonts w:ascii="Times New Roman" w:eastAsia="Times New Roman" w:hAnsi="Times New Roman" w:cs="Times New Roman"/>
          <w:sz w:val="24"/>
          <w:szCs w:val="24"/>
        </w:rPr>
        <w:t>, 213 AD2d 131, 135-</w:t>
      </w:r>
      <w:r w:rsidR="000E4C8D" w:rsidRPr="006E2046">
        <w:rPr>
          <w:rFonts w:ascii="Times New Roman" w:eastAsia="Times New Roman" w:hAnsi="Times New Roman" w:cs="Times New Roman"/>
          <w:sz w:val="24"/>
          <w:szCs w:val="24"/>
        </w:rPr>
        <w:t>1</w:t>
      </w:r>
      <w:r w:rsidR="00C81311" w:rsidRPr="006E2046">
        <w:rPr>
          <w:rFonts w:ascii="Times New Roman" w:eastAsia="Times New Roman" w:hAnsi="Times New Roman" w:cs="Times New Roman"/>
          <w:sz w:val="24"/>
          <w:szCs w:val="24"/>
        </w:rPr>
        <w:t>36 [3d Dept 1995] [citation omitted]</w:t>
      </w:r>
      <w:r w:rsidR="00281186"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 xml:space="preserve">. </w:t>
      </w:r>
      <w:r w:rsidR="00DA7082"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To that end,” the Court opined, “it has been suggested that factors to be weighed in determining the document</w:t>
      </w:r>
      <w:r w:rsidR="00DA7082"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 xml:space="preserve">s trustworthiness and reliability, among other things, might include (1) the timeliness of the investigation, (2) the skill and/or experience of the investigator, (3) whether the report was based upon testimony adduced at a hearing, and (4) the possibility of bias </w:t>
      </w:r>
      <w:r w:rsidR="00C81311" w:rsidRPr="006E2046">
        <w:rPr>
          <w:rFonts w:ascii="Times New Roman" w:eastAsia="Times New Roman" w:hAnsi="Times New Roman" w:cs="Times New Roman"/>
          <w:sz w:val="24"/>
          <w:szCs w:val="24"/>
          <w:bdr w:val="none" w:sz="0" w:space="0" w:color="auto" w:frame="1"/>
        </w:rPr>
        <w:t>(</w:t>
      </w:r>
      <w:r w:rsidR="00C81311" w:rsidRPr="006E2046">
        <w:rPr>
          <w:rFonts w:ascii="Times New Roman" w:eastAsia="Times New Roman" w:hAnsi="Times New Roman" w:cs="Times New Roman"/>
          <w:i/>
          <w:iCs/>
          <w:sz w:val="24"/>
          <w:szCs w:val="24"/>
          <w:bdr w:val="none" w:sz="0" w:space="0" w:color="auto" w:frame="1"/>
        </w:rPr>
        <w:t>see,</w:t>
      </w:r>
      <w:r w:rsidR="00C81311" w:rsidRPr="006E2046">
        <w:rPr>
          <w:rFonts w:ascii="Times New Roman" w:eastAsia="Times New Roman" w:hAnsi="Times New Roman" w:cs="Times New Roman"/>
          <w:sz w:val="24"/>
          <w:szCs w:val="24"/>
        </w:rPr>
        <w:t xml:space="preserve"> Alexander, Practice Commentaries, McKinney</w:t>
      </w:r>
      <w:r w:rsidR="00DA7082"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s Cons Laws of NY, Book 7B, CPLR C4520:3, at 246).</w:t>
      </w:r>
      <w:r w:rsidR="00DA7082"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 xml:space="preserve"> On the facts of the case, </w:t>
      </w:r>
      <w:r w:rsidR="00C81311" w:rsidRPr="006E2046">
        <w:rPr>
          <w:rFonts w:ascii="Times New Roman" w:eastAsia="Times New Roman" w:hAnsi="Times New Roman" w:cs="Times New Roman"/>
          <w:i/>
          <w:iCs/>
          <w:sz w:val="24"/>
          <w:szCs w:val="24"/>
        </w:rPr>
        <w:t>Cramer</w:t>
      </w:r>
      <w:r w:rsidR="00C81311" w:rsidRPr="006E2046">
        <w:rPr>
          <w:rFonts w:ascii="Times New Roman" w:eastAsia="Times New Roman" w:hAnsi="Times New Roman" w:cs="Times New Roman"/>
          <w:sz w:val="24"/>
          <w:szCs w:val="24"/>
        </w:rPr>
        <w:t xml:space="preserve"> </w:t>
      </w:r>
      <w:r w:rsidR="00A316D0" w:rsidRPr="006E2046">
        <w:rPr>
          <w:rFonts w:ascii="Times New Roman" w:eastAsia="Times New Roman" w:hAnsi="Times New Roman" w:cs="Times New Roman"/>
          <w:sz w:val="24"/>
          <w:szCs w:val="24"/>
        </w:rPr>
        <w:t>found</w:t>
      </w:r>
      <w:r w:rsidR="00C81311" w:rsidRPr="006E2046">
        <w:rPr>
          <w:rFonts w:ascii="Times New Roman" w:eastAsia="Times New Roman" w:hAnsi="Times New Roman" w:cs="Times New Roman"/>
          <w:sz w:val="24"/>
          <w:szCs w:val="24"/>
        </w:rPr>
        <w:t xml:space="preserve"> that the study lacked sufficient indicia of reliability. (</w:t>
      </w:r>
      <w:r w:rsidR="00C81311" w:rsidRPr="006E2046">
        <w:rPr>
          <w:rFonts w:ascii="Times New Roman" w:eastAsia="Times New Roman" w:hAnsi="Times New Roman" w:cs="Times New Roman"/>
          <w:i/>
          <w:iCs/>
          <w:sz w:val="24"/>
          <w:szCs w:val="24"/>
        </w:rPr>
        <w:t xml:space="preserve">See </w:t>
      </w:r>
      <w:r w:rsidR="00C81311" w:rsidRPr="006E2046">
        <w:rPr>
          <w:rFonts w:ascii="Times New Roman" w:eastAsia="Times New Roman" w:hAnsi="Times New Roman" w:cs="Times New Roman"/>
          <w:i/>
          <w:iCs/>
          <w:sz w:val="24"/>
          <w:szCs w:val="24"/>
          <w:bdr w:val="none" w:sz="0" w:space="0" w:color="auto" w:frame="1"/>
        </w:rPr>
        <w:t xml:space="preserve">D.H. v </w:t>
      </w:r>
      <w:r w:rsidR="00F63B19" w:rsidRPr="006E2046">
        <w:rPr>
          <w:rFonts w:ascii="Times New Roman" w:eastAsia="Times New Roman" w:hAnsi="Times New Roman" w:cs="Times New Roman"/>
          <w:i/>
          <w:iCs/>
          <w:sz w:val="24"/>
          <w:szCs w:val="24"/>
          <w:bdr w:val="none" w:sz="0" w:space="0" w:color="auto" w:frame="1"/>
        </w:rPr>
        <w:t>Kinder</w:t>
      </w:r>
      <w:r w:rsidR="00802421" w:rsidRPr="006E2046">
        <w:rPr>
          <w:rFonts w:ascii="Times New Roman" w:eastAsia="Times New Roman" w:hAnsi="Times New Roman" w:cs="Times New Roman"/>
          <w:i/>
          <w:iCs/>
          <w:sz w:val="24"/>
          <w:szCs w:val="24"/>
          <w:bdr w:val="none" w:sz="0" w:space="0" w:color="auto" w:frame="1"/>
        </w:rPr>
        <w:t>c</w:t>
      </w:r>
      <w:r w:rsidR="00F63B19" w:rsidRPr="006E2046">
        <w:rPr>
          <w:rFonts w:ascii="Times New Roman" w:eastAsia="Times New Roman" w:hAnsi="Times New Roman" w:cs="Times New Roman"/>
          <w:i/>
          <w:iCs/>
          <w:sz w:val="24"/>
          <w:szCs w:val="24"/>
          <w:bdr w:val="none" w:sz="0" w:space="0" w:color="auto" w:frame="1"/>
        </w:rPr>
        <w:t>are</w:t>
      </w:r>
      <w:r w:rsidR="00C81311" w:rsidRPr="006E2046">
        <w:rPr>
          <w:rFonts w:ascii="Times New Roman" w:eastAsia="Times New Roman" w:hAnsi="Times New Roman" w:cs="Times New Roman"/>
          <w:i/>
          <w:iCs/>
          <w:sz w:val="24"/>
          <w:szCs w:val="24"/>
          <w:bdr w:val="none" w:sz="0" w:space="0" w:color="auto" w:frame="1"/>
        </w:rPr>
        <w:t xml:space="preserve"> Learning Ctr., Inc.</w:t>
      </w:r>
      <w:r w:rsidR="00C81311"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i/>
          <w:iCs/>
          <w:sz w:val="24"/>
          <w:szCs w:val="24"/>
        </w:rPr>
        <w:t xml:space="preserve"> </w:t>
      </w:r>
      <w:r w:rsidR="00C81311" w:rsidRPr="006E2046">
        <w:rPr>
          <w:rFonts w:ascii="Times New Roman" w:eastAsia="Times New Roman" w:hAnsi="Times New Roman" w:cs="Times New Roman"/>
          <w:sz w:val="24"/>
          <w:szCs w:val="24"/>
        </w:rPr>
        <w:t>6 AD3d 220, 221 [1st Dept 2004] [the agency’s investigation “lacked sufficient indicia of trustworthiness and reliability”</w:t>
      </w:r>
      <w:r w:rsidR="00802421"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 xml:space="preserve">; </w:t>
      </w:r>
      <w:r w:rsidR="00C81311" w:rsidRPr="006E2046">
        <w:rPr>
          <w:rFonts w:ascii="Times New Roman" w:eastAsia="Times New Roman" w:hAnsi="Times New Roman" w:cs="Times New Roman"/>
          <w:i/>
          <w:sz w:val="24"/>
          <w:szCs w:val="24"/>
          <w:bdr w:val="none" w:sz="0" w:space="0" w:color="auto" w:frame="1"/>
        </w:rPr>
        <w:t>Kaiser v Metro</w:t>
      </w:r>
      <w:r w:rsidR="00802421" w:rsidRPr="006E2046">
        <w:rPr>
          <w:rFonts w:ascii="Times New Roman" w:eastAsia="Times New Roman" w:hAnsi="Times New Roman" w:cs="Times New Roman"/>
          <w:i/>
          <w:sz w:val="24"/>
          <w:szCs w:val="24"/>
          <w:bdr w:val="none" w:sz="0" w:space="0" w:color="auto" w:frame="1"/>
        </w:rPr>
        <w:t>politan</w:t>
      </w:r>
      <w:r w:rsidR="00C81311" w:rsidRPr="006E2046">
        <w:rPr>
          <w:rFonts w:ascii="Times New Roman" w:eastAsia="Times New Roman" w:hAnsi="Times New Roman" w:cs="Times New Roman"/>
          <w:i/>
          <w:sz w:val="24"/>
          <w:szCs w:val="24"/>
          <w:bdr w:val="none" w:sz="0" w:space="0" w:color="auto" w:frame="1"/>
        </w:rPr>
        <w:t xml:space="preserve"> Tr. Auth.</w:t>
      </w:r>
      <w:r w:rsidR="00C81311" w:rsidRPr="006E2046">
        <w:rPr>
          <w:rFonts w:ascii="Times New Roman" w:eastAsia="Times New Roman" w:hAnsi="Times New Roman" w:cs="Times New Roman"/>
          <w:i/>
          <w:sz w:val="24"/>
          <w:szCs w:val="24"/>
        </w:rPr>
        <w:t>,</w:t>
      </w:r>
      <w:r w:rsidR="00C81311" w:rsidRPr="006E2046">
        <w:rPr>
          <w:rFonts w:ascii="Times New Roman" w:eastAsia="Times New Roman" w:hAnsi="Times New Roman" w:cs="Times New Roman"/>
          <w:iCs/>
          <w:sz w:val="24"/>
          <w:szCs w:val="24"/>
        </w:rPr>
        <w:t xml:space="preserve"> 170 Misc 2d 321, 325 [Sup Ct</w:t>
      </w:r>
      <w:r w:rsidR="00802421" w:rsidRPr="006E2046">
        <w:rPr>
          <w:rFonts w:ascii="Times New Roman" w:eastAsia="Times New Roman" w:hAnsi="Times New Roman" w:cs="Times New Roman"/>
          <w:iCs/>
          <w:sz w:val="24"/>
          <w:szCs w:val="24"/>
        </w:rPr>
        <w:t>, Suffolk County</w:t>
      </w:r>
      <w:r w:rsidR="00C81311" w:rsidRPr="006E2046">
        <w:rPr>
          <w:rFonts w:ascii="Times New Roman" w:eastAsia="Times New Roman" w:hAnsi="Times New Roman" w:cs="Times New Roman"/>
          <w:iCs/>
          <w:sz w:val="24"/>
          <w:szCs w:val="24"/>
        </w:rPr>
        <w:t xml:space="preserve"> 1996] [the “reports are not sufficiently trustworthy to be admissible</w:t>
      </w:r>
      <w:r w:rsidR="00DA7082" w:rsidRPr="006E2046">
        <w:rPr>
          <w:rFonts w:ascii="Times New Roman" w:eastAsia="Times New Roman" w:hAnsi="Times New Roman" w:cs="Times New Roman"/>
          <w:iCs/>
          <w:sz w:val="24"/>
          <w:szCs w:val="24"/>
        </w:rPr>
        <w:t>”</w:t>
      </w:r>
      <w:r w:rsidR="00C81311" w:rsidRPr="006E2046">
        <w:rPr>
          <w:rFonts w:ascii="Times New Roman" w:eastAsia="Times New Roman" w:hAnsi="Times New Roman" w:cs="Times New Roman"/>
          <w:iCs/>
          <w:sz w:val="24"/>
          <w:szCs w:val="24"/>
        </w:rPr>
        <w:t>]</w:t>
      </w:r>
      <w:r w:rsidR="003C2E2A" w:rsidRPr="006E2046">
        <w:rPr>
          <w:rFonts w:ascii="Times New Roman" w:eastAsia="Times New Roman" w:hAnsi="Times New Roman" w:cs="Times New Roman"/>
          <w:iCs/>
          <w:sz w:val="24"/>
          <w:szCs w:val="24"/>
        </w:rPr>
        <w:t xml:space="preserve">; </w:t>
      </w:r>
      <w:r w:rsidR="00B63A67" w:rsidRPr="006E2046">
        <w:rPr>
          <w:rFonts w:ascii="Times New Roman" w:eastAsia="Times New Roman" w:hAnsi="Times New Roman" w:cs="Times New Roman"/>
          <w:i/>
          <w:iCs/>
          <w:sz w:val="24"/>
          <w:szCs w:val="24"/>
          <w:bdr w:val="none" w:sz="0" w:space="0" w:color="auto" w:frame="1"/>
        </w:rPr>
        <w:t xml:space="preserve">Fruit </w:t>
      </w:r>
      <w:r w:rsidR="00E55C16" w:rsidRPr="006E2046">
        <w:rPr>
          <w:rFonts w:ascii="Times New Roman" w:eastAsia="Times New Roman" w:hAnsi="Times New Roman" w:cs="Times New Roman"/>
          <w:i/>
          <w:iCs/>
          <w:sz w:val="24"/>
          <w:szCs w:val="24"/>
          <w:bdr w:val="none" w:sz="0" w:space="0" w:color="auto" w:frame="1"/>
        </w:rPr>
        <w:t>&amp;</w:t>
      </w:r>
      <w:r w:rsidR="00B63A67" w:rsidRPr="006E2046">
        <w:rPr>
          <w:rFonts w:ascii="Times New Roman" w:eastAsia="Times New Roman" w:hAnsi="Times New Roman" w:cs="Times New Roman"/>
          <w:i/>
          <w:iCs/>
          <w:sz w:val="24"/>
          <w:szCs w:val="24"/>
          <w:bdr w:val="none" w:sz="0" w:space="0" w:color="auto" w:frame="1"/>
        </w:rPr>
        <w:t xml:space="preserve"> Vegetable Supreme, Inc. v Hartford Steam Boiler Inspection &amp; Ins. Co.</w:t>
      </w:r>
      <w:r w:rsidR="00B63A67" w:rsidRPr="006E2046">
        <w:rPr>
          <w:rFonts w:ascii="Times New Roman" w:eastAsia="Times New Roman" w:hAnsi="Times New Roman" w:cs="Times New Roman"/>
          <w:sz w:val="24"/>
          <w:szCs w:val="24"/>
        </w:rPr>
        <w:t>,</w:t>
      </w:r>
      <w:r w:rsidR="00B63A67" w:rsidRPr="006E2046">
        <w:rPr>
          <w:rFonts w:ascii="Times New Roman" w:eastAsia="Times New Roman" w:hAnsi="Times New Roman" w:cs="Times New Roman"/>
          <w:i/>
          <w:iCs/>
          <w:sz w:val="24"/>
          <w:szCs w:val="24"/>
        </w:rPr>
        <w:t xml:space="preserve"> </w:t>
      </w:r>
      <w:r w:rsidR="00B63A67" w:rsidRPr="006E2046">
        <w:rPr>
          <w:rFonts w:ascii="Times New Roman" w:eastAsia="Times New Roman" w:hAnsi="Times New Roman" w:cs="Times New Roman"/>
          <w:sz w:val="24"/>
          <w:szCs w:val="24"/>
        </w:rPr>
        <w:t>28 Misc 3d 1128, 1134 [Sup Ct</w:t>
      </w:r>
      <w:r w:rsidR="00E55C16" w:rsidRPr="006E2046">
        <w:rPr>
          <w:rFonts w:ascii="Times New Roman" w:eastAsia="Times New Roman" w:hAnsi="Times New Roman" w:cs="Times New Roman"/>
          <w:sz w:val="24"/>
          <w:szCs w:val="24"/>
        </w:rPr>
        <w:t>, Kings County</w:t>
      </w:r>
      <w:r w:rsidR="00B63A67" w:rsidRPr="006E2046">
        <w:rPr>
          <w:rFonts w:ascii="Times New Roman" w:eastAsia="Times New Roman" w:hAnsi="Times New Roman" w:cs="Times New Roman"/>
          <w:sz w:val="24"/>
          <w:szCs w:val="24"/>
        </w:rPr>
        <w:t xml:space="preserve"> 2010] </w:t>
      </w:r>
      <w:r w:rsidR="00DC1EBA" w:rsidRPr="006E2046">
        <w:rPr>
          <w:rFonts w:ascii="Times New Roman" w:eastAsia="Times New Roman" w:hAnsi="Times New Roman" w:cs="Times New Roman"/>
          <w:sz w:val="24"/>
          <w:szCs w:val="24"/>
        </w:rPr>
        <w:t xml:space="preserve">[the reports </w:t>
      </w:r>
      <w:r w:rsidR="003C2E2A" w:rsidRPr="006E2046">
        <w:rPr>
          <w:rFonts w:ascii="Times New Roman" w:eastAsia="Times New Roman" w:hAnsi="Times New Roman" w:cs="Times New Roman"/>
          <w:sz w:val="24"/>
          <w:szCs w:val="24"/>
        </w:rPr>
        <w:t>“a</w:t>
      </w:r>
      <w:r w:rsidR="00B63A67" w:rsidRPr="006E2046">
        <w:rPr>
          <w:rFonts w:ascii="Times New Roman" w:eastAsia="Times New Roman" w:hAnsi="Times New Roman" w:cs="Times New Roman"/>
          <w:sz w:val="24"/>
          <w:szCs w:val="24"/>
        </w:rPr>
        <w:t>re sufficiently reliable</w:t>
      </w:r>
      <w:r w:rsidR="00DA7082" w:rsidRPr="006E2046">
        <w:rPr>
          <w:rFonts w:ascii="Times New Roman" w:eastAsia="Times New Roman" w:hAnsi="Times New Roman" w:cs="Times New Roman"/>
          <w:sz w:val="24"/>
          <w:szCs w:val="24"/>
        </w:rPr>
        <w:t>”</w:t>
      </w:r>
      <w:r w:rsidR="003C2E2A" w:rsidRPr="006E2046">
        <w:rPr>
          <w:rFonts w:ascii="Times New Roman" w:eastAsia="Times New Roman" w:hAnsi="Times New Roman" w:cs="Times New Roman"/>
          <w:sz w:val="24"/>
          <w:szCs w:val="24"/>
        </w:rPr>
        <w:t>]</w:t>
      </w:r>
      <w:r w:rsidR="0045499A" w:rsidRPr="006E2046">
        <w:rPr>
          <w:rFonts w:ascii="Times New Roman" w:eastAsia="Times New Roman" w:hAnsi="Times New Roman" w:cs="Times New Roman"/>
          <w:sz w:val="24"/>
          <w:szCs w:val="24"/>
        </w:rPr>
        <w:t>.</w:t>
      </w:r>
      <w:r w:rsidR="003C2E2A" w:rsidRPr="006E2046">
        <w:rPr>
          <w:rFonts w:ascii="Times New Roman" w:eastAsia="Times New Roman" w:hAnsi="Times New Roman" w:cs="Times New Roman"/>
          <w:sz w:val="24"/>
          <w:szCs w:val="24"/>
        </w:rPr>
        <w:t>)</w:t>
      </w:r>
    </w:p>
    <w:p w14:paraId="6F8531AA" w14:textId="77777777" w:rsidR="00B63A67" w:rsidRPr="006E2046" w:rsidRDefault="00B63A67" w:rsidP="000D7330">
      <w:pPr>
        <w:shd w:val="clear" w:color="auto" w:fill="FFFFFF"/>
        <w:spacing w:after="0" w:line="276" w:lineRule="auto"/>
        <w:jc w:val="both"/>
        <w:rPr>
          <w:rFonts w:ascii="Times New Roman" w:eastAsia="Times New Roman" w:hAnsi="Times New Roman" w:cs="Times New Roman"/>
          <w:iCs/>
          <w:sz w:val="24"/>
          <w:szCs w:val="24"/>
        </w:rPr>
      </w:pPr>
    </w:p>
    <w:p w14:paraId="6163BEFD" w14:textId="650C44E8" w:rsidR="001655CA" w:rsidRPr="006E2046" w:rsidRDefault="001655CA" w:rsidP="000D7330">
      <w:pPr>
        <w:shd w:val="clear" w:color="auto" w:fill="FFFFFF"/>
        <w:spacing w:after="0" w:line="276" w:lineRule="auto"/>
        <w:jc w:val="both"/>
        <w:rPr>
          <w:rFonts w:ascii="Times New Roman" w:eastAsia="Times New Roman" w:hAnsi="Times New Roman" w:cs="Times New Roman"/>
          <w:i/>
          <w:iCs/>
          <w:sz w:val="24"/>
          <w:szCs w:val="24"/>
        </w:rPr>
      </w:pPr>
      <w:r w:rsidRPr="006E2046">
        <w:rPr>
          <w:rFonts w:ascii="Times New Roman" w:eastAsia="Times New Roman" w:hAnsi="Times New Roman" w:cs="Times New Roman"/>
          <w:sz w:val="24"/>
          <w:szCs w:val="24"/>
        </w:rPr>
        <w:tab/>
      </w:r>
      <w:r w:rsidR="009C4E4C" w:rsidRPr="006E2046">
        <w:rPr>
          <w:rFonts w:ascii="Times New Roman" w:eastAsia="Times New Roman" w:hAnsi="Times New Roman" w:cs="Times New Roman"/>
          <w:sz w:val="24"/>
          <w:szCs w:val="24"/>
        </w:rPr>
        <w:t>It is not clear w</w:t>
      </w:r>
      <w:r w:rsidRPr="006E2046">
        <w:rPr>
          <w:rFonts w:ascii="Times New Roman" w:eastAsia="Times New Roman" w:hAnsi="Times New Roman" w:cs="Times New Roman"/>
          <w:sz w:val="24"/>
          <w:szCs w:val="24"/>
        </w:rPr>
        <w:t xml:space="preserve">hether </w:t>
      </w:r>
      <w:r w:rsidRPr="006E2046">
        <w:rPr>
          <w:rFonts w:ascii="Times New Roman" w:eastAsia="Times New Roman" w:hAnsi="Times New Roman" w:cs="Times New Roman"/>
          <w:i/>
          <w:iCs/>
          <w:sz w:val="24"/>
          <w:szCs w:val="24"/>
        </w:rPr>
        <w:t>Cramer</w:t>
      </w:r>
      <w:r w:rsidRPr="006E2046">
        <w:rPr>
          <w:rFonts w:ascii="Times New Roman" w:eastAsia="Times New Roman" w:hAnsi="Times New Roman" w:cs="Times New Roman"/>
          <w:sz w:val="24"/>
          <w:szCs w:val="24"/>
        </w:rPr>
        <w:t xml:space="preserve"> was simply engrafting an additional CPLR 4520 requirement of trustworthiness for an investigatory report, or, in the absence of an investigatory report </w:t>
      </w:r>
      <w:r w:rsidR="002A58FA" w:rsidRPr="006E2046">
        <w:rPr>
          <w:rFonts w:ascii="Times New Roman" w:eastAsia="Times New Roman" w:hAnsi="Times New Roman" w:cs="Times New Roman"/>
          <w:sz w:val="24"/>
          <w:szCs w:val="24"/>
        </w:rPr>
        <w:t>that met</w:t>
      </w:r>
      <w:r w:rsidRPr="006E2046">
        <w:rPr>
          <w:rFonts w:ascii="Times New Roman" w:eastAsia="Times New Roman" w:hAnsi="Times New Roman" w:cs="Times New Roman"/>
          <w:sz w:val="24"/>
          <w:szCs w:val="24"/>
        </w:rPr>
        <w:t xml:space="preserve"> the statutory requirements of CPLR 4520, implying by its reliance on the federal rule of evidence</w:t>
      </w:r>
      <w:r w:rsidR="00E75ADE" w:rsidRPr="006E2046">
        <w:rPr>
          <w:rFonts w:ascii="Times New Roman" w:eastAsia="Times New Roman" w:hAnsi="Times New Roman" w:cs="Times New Roman"/>
          <w:sz w:val="24"/>
          <w:szCs w:val="24"/>
        </w:rPr>
        <w:t xml:space="preserve"> for “guidance”</w:t>
      </w:r>
      <w:r w:rsidRPr="006E2046">
        <w:rPr>
          <w:rFonts w:ascii="Times New Roman" w:eastAsia="Times New Roman" w:hAnsi="Times New Roman" w:cs="Times New Roman"/>
          <w:sz w:val="24"/>
          <w:szCs w:val="24"/>
        </w:rPr>
        <w:t xml:space="preserve"> that an investigatory report, if trustworthy, was admissible under </w:t>
      </w:r>
      <w:r w:rsidR="009C4E4C" w:rsidRPr="006E2046">
        <w:rPr>
          <w:rFonts w:ascii="Times New Roman" w:eastAsia="Times New Roman" w:hAnsi="Times New Roman" w:cs="Times New Roman"/>
          <w:sz w:val="24"/>
          <w:szCs w:val="24"/>
        </w:rPr>
        <w:t>the</w:t>
      </w:r>
      <w:r w:rsidRPr="006E2046">
        <w:rPr>
          <w:rFonts w:ascii="Times New Roman" w:eastAsia="Times New Roman" w:hAnsi="Times New Roman" w:cs="Times New Roman"/>
          <w:sz w:val="24"/>
          <w:szCs w:val="24"/>
        </w:rPr>
        <w:t xml:space="preserve"> common law. The difference is significant because CPLR 4520 documents constitute prima facie </w:t>
      </w:r>
      <w:r w:rsidRPr="006E2046">
        <w:rPr>
          <w:rFonts w:ascii="Times New Roman" w:eastAsia="Times New Roman" w:hAnsi="Times New Roman" w:cs="Times New Roman"/>
          <w:sz w:val="24"/>
          <w:szCs w:val="24"/>
        </w:rPr>
        <w:lastRenderedPageBreak/>
        <w:t xml:space="preserve">evidence of </w:t>
      </w:r>
      <w:r w:rsidR="00E30108" w:rsidRPr="006E2046">
        <w:rPr>
          <w:rFonts w:ascii="Times New Roman" w:eastAsia="Times New Roman" w:hAnsi="Times New Roman" w:cs="Times New Roman"/>
          <w:sz w:val="24"/>
          <w:szCs w:val="24"/>
        </w:rPr>
        <w:t>their</w:t>
      </w:r>
      <w:r w:rsidRPr="006E2046">
        <w:rPr>
          <w:rFonts w:ascii="Times New Roman" w:eastAsia="Times New Roman" w:hAnsi="Times New Roman" w:cs="Times New Roman"/>
          <w:sz w:val="24"/>
          <w:szCs w:val="24"/>
        </w:rPr>
        <w:t xml:space="preserve"> contents while common</w:t>
      </w:r>
      <w:r w:rsidR="00EF0739" w:rsidRPr="006E2046">
        <w:rPr>
          <w:rFonts w:ascii="Times New Roman" w:eastAsia="Times New Roman" w:hAnsi="Times New Roman" w:cs="Times New Roman"/>
          <w:sz w:val="24"/>
          <w:szCs w:val="24"/>
        </w:rPr>
        <w:t>-</w:t>
      </w:r>
      <w:r w:rsidRPr="006E2046">
        <w:rPr>
          <w:rFonts w:ascii="Times New Roman" w:eastAsia="Times New Roman" w:hAnsi="Times New Roman" w:cs="Times New Roman"/>
          <w:sz w:val="24"/>
          <w:szCs w:val="24"/>
        </w:rPr>
        <w:t xml:space="preserve">law documents are only some evidence of </w:t>
      </w:r>
      <w:r w:rsidR="0095626D" w:rsidRPr="006E2046">
        <w:rPr>
          <w:rFonts w:ascii="Times New Roman" w:eastAsia="Times New Roman" w:hAnsi="Times New Roman" w:cs="Times New Roman"/>
          <w:sz w:val="24"/>
          <w:szCs w:val="24"/>
        </w:rPr>
        <w:t>the facts.</w:t>
      </w:r>
    </w:p>
    <w:p w14:paraId="7BF2C6EA" w14:textId="203ABCBD" w:rsidR="00A316D0" w:rsidRPr="006E2046" w:rsidRDefault="00A316D0" w:rsidP="000D7330">
      <w:pPr>
        <w:shd w:val="clear" w:color="auto" w:fill="FFFFFF"/>
        <w:spacing w:after="0" w:line="276" w:lineRule="auto"/>
        <w:jc w:val="both"/>
        <w:rPr>
          <w:rFonts w:ascii="Times New Roman" w:eastAsia="Times New Roman" w:hAnsi="Times New Roman" w:cs="Times New Roman"/>
          <w:iCs/>
          <w:sz w:val="24"/>
          <w:szCs w:val="24"/>
        </w:rPr>
      </w:pPr>
    </w:p>
    <w:p w14:paraId="21744177" w14:textId="44A11372" w:rsidR="00C83631" w:rsidRPr="006E2046" w:rsidRDefault="00A316D0" w:rsidP="000D7330">
      <w:pPr>
        <w:shd w:val="clear" w:color="auto" w:fill="FFFFFF"/>
        <w:spacing w:after="0" w:line="276" w:lineRule="auto"/>
        <w:jc w:val="both"/>
        <w:rPr>
          <w:rFonts w:ascii="Times New Roman" w:eastAsia="Times New Roman" w:hAnsi="Times New Roman" w:cs="Times New Roman"/>
          <w:sz w:val="24"/>
          <w:szCs w:val="24"/>
        </w:rPr>
      </w:pPr>
      <w:r w:rsidRPr="006E2046">
        <w:rPr>
          <w:rFonts w:ascii="Times New Roman" w:eastAsia="Times New Roman" w:hAnsi="Times New Roman" w:cs="Times New Roman"/>
          <w:iCs/>
          <w:sz w:val="24"/>
          <w:szCs w:val="24"/>
        </w:rPr>
        <w:tab/>
      </w:r>
      <w:r w:rsidR="00DA3E76" w:rsidRPr="006E2046">
        <w:rPr>
          <w:rFonts w:ascii="Times New Roman" w:eastAsia="Times New Roman" w:hAnsi="Times New Roman" w:cs="Times New Roman"/>
          <w:iCs/>
          <w:sz w:val="24"/>
          <w:szCs w:val="24"/>
        </w:rPr>
        <w:t>Some</w:t>
      </w:r>
      <w:r w:rsidRPr="006E2046">
        <w:rPr>
          <w:rFonts w:ascii="Times New Roman" w:eastAsia="Times New Roman" w:hAnsi="Times New Roman" w:cs="Times New Roman"/>
          <w:iCs/>
          <w:sz w:val="24"/>
          <w:szCs w:val="24"/>
        </w:rPr>
        <w:t xml:space="preserve"> courts have </w:t>
      </w:r>
      <w:r w:rsidR="00D004CD" w:rsidRPr="006E2046">
        <w:rPr>
          <w:rFonts w:ascii="Times New Roman" w:eastAsia="Times New Roman" w:hAnsi="Times New Roman" w:cs="Times New Roman"/>
          <w:iCs/>
          <w:sz w:val="24"/>
          <w:szCs w:val="24"/>
        </w:rPr>
        <w:t xml:space="preserve">indeed </w:t>
      </w:r>
      <w:r w:rsidRPr="006E2046">
        <w:rPr>
          <w:rFonts w:ascii="Times New Roman" w:eastAsia="Times New Roman" w:hAnsi="Times New Roman" w:cs="Times New Roman"/>
          <w:iCs/>
          <w:sz w:val="24"/>
          <w:szCs w:val="24"/>
        </w:rPr>
        <w:t>opin</w:t>
      </w:r>
      <w:r w:rsidR="00DA3E76" w:rsidRPr="006E2046">
        <w:rPr>
          <w:rFonts w:ascii="Times New Roman" w:eastAsia="Times New Roman" w:hAnsi="Times New Roman" w:cs="Times New Roman"/>
          <w:iCs/>
          <w:sz w:val="24"/>
          <w:szCs w:val="24"/>
        </w:rPr>
        <w:t>ed</w:t>
      </w:r>
      <w:r w:rsidRPr="006E2046">
        <w:rPr>
          <w:rFonts w:ascii="Times New Roman" w:eastAsia="Times New Roman" w:hAnsi="Times New Roman" w:cs="Times New Roman"/>
          <w:iCs/>
          <w:sz w:val="24"/>
          <w:szCs w:val="24"/>
        </w:rPr>
        <w:t xml:space="preserve"> that</w:t>
      </w:r>
      <w:r w:rsidR="00D004CD" w:rsidRPr="006E2046">
        <w:rPr>
          <w:rFonts w:ascii="Times New Roman" w:eastAsia="Times New Roman" w:hAnsi="Times New Roman" w:cs="Times New Roman"/>
          <w:iCs/>
          <w:sz w:val="24"/>
          <w:szCs w:val="24"/>
        </w:rPr>
        <w:t xml:space="preserve"> an investigatory report </w:t>
      </w:r>
      <w:r w:rsidR="00463351" w:rsidRPr="006E2046">
        <w:rPr>
          <w:rFonts w:ascii="Times New Roman" w:eastAsia="Times New Roman" w:hAnsi="Times New Roman" w:cs="Times New Roman"/>
          <w:iCs/>
          <w:sz w:val="24"/>
          <w:szCs w:val="24"/>
        </w:rPr>
        <w:t xml:space="preserve">prepared pursuant to a statutory mandate </w:t>
      </w:r>
      <w:r w:rsidR="00D004CD" w:rsidRPr="006E2046">
        <w:rPr>
          <w:rFonts w:ascii="Times New Roman" w:eastAsia="Times New Roman" w:hAnsi="Times New Roman" w:cs="Times New Roman"/>
          <w:iCs/>
          <w:sz w:val="24"/>
          <w:szCs w:val="24"/>
        </w:rPr>
        <w:t xml:space="preserve">may </w:t>
      </w:r>
      <w:r w:rsidR="001655CA" w:rsidRPr="006E2046">
        <w:rPr>
          <w:rFonts w:ascii="Times New Roman" w:eastAsia="Times New Roman" w:hAnsi="Times New Roman" w:cs="Times New Roman"/>
          <w:iCs/>
          <w:sz w:val="24"/>
          <w:szCs w:val="24"/>
        </w:rPr>
        <w:t>“</w:t>
      </w:r>
      <w:r w:rsidR="00B30414" w:rsidRPr="006E2046">
        <w:rPr>
          <w:rFonts w:ascii="Times New Roman" w:eastAsia="Times New Roman" w:hAnsi="Times New Roman" w:cs="Times New Roman"/>
          <w:iCs/>
          <w:sz w:val="24"/>
          <w:szCs w:val="24"/>
        </w:rPr>
        <w:t xml:space="preserve">at the very least” </w:t>
      </w:r>
      <w:r w:rsidR="00D004CD" w:rsidRPr="006E2046">
        <w:rPr>
          <w:rFonts w:ascii="Times New Roman" w:eastAsia="Times New Roman" w:hAnsi="Times New Roman" w:cs="Times New Roman"/>
          <w:iCs/>
          <w:sz w:val="24"/>
          <w:szCs w:val="24"/>
        </w:rPr>
        <w:t xml:space="preserve">be admissible </w:t>
      </w:r>
      <w:r w:rsidR="009901DF" w:rsidRPr="006E2046">
        <w:rPr>
          <w:rFonts w:ascii="Times New Roman" w:eastAsia="Times New Roman" w:hAnsi="Times New Roman" w:cs="Times New Roman"/>
          <w:iCs/>
          <w:sz w:val="24"/>
          <w:szCs w:val="24"/>
        </w:rPr>
        <w:t xml:space="preserve">under </w:t>
      </w:r>
      <w:r w:rsidR="001655CA" w:rsidRPr="006E2046">
        <w:rPr>
          <w:rFonts w:ascii="Times New Roman" w:eastAsia="Times New Roman" w:hAnsi="Times New Roman" w:cs="Times New Roman"/>
          <w:iCs/>
          <w:sz w:val="24"/>
          <w:szCs w:val="24"/>
        </w:rPr>
        <w:t xml:space="preserve">the </w:t>
      </w:r>
      <w:r w:rsidR="009901DF" w:rsidRPr="006E2046">
        <w:rPr>
          <w:rFonts w:ascii="Times New Roman" w:eastAsia="Times New Roman" w:hAnsi="Times New Roman" w:cs="Times New Roman"/>
          <w:iCs/>
          <w:sz w:val="24"/>
          <w:szCs w:val="24"/>
        </w:rPr>
        <w:t>common law</w:t>
      </w:r>
      <w:r w:rsidR="00EF0739" w:rsidRPr="006E2046">
        <w:rPr>
          <w:rFonts w:ascii="Times New Roman" w:eastAsia="Times New Roman" w:hAnsi="Times New Roman" w:cs="Times New Roman"/>
          <w:iCs/>
          <w:sz w:val="24"/>
          <w:szCs w:val="24"/>
        </w:rPr>
        <w:t xml:space="preserve"> (</w:t>
      </w:r>
      <w:r w:rsidR="009901DF" w:rsidRPr="006E2046">
        <w:rPr>
          <w:rFonts w:ascii="Times New Roman" w:eastAsia="Times New Roman" w:hAnsi="Times New Roman" w:cs="Times New Roman"/>
          <w:i/>
          <w:iCs/>
          <w:sz w:val="24"/>
          <w:szCs w:val="24"/>
          <w:bdr w:val="none" w:sz="0" w:space="0" w:color="auto" w:frame="1"/>
        </w:rPr>
        <w:t>Kozlowski v City of Amsterdam</w:t>
      </w:r>
      <w:r w:rsidR="009901DF" w:rsidRPr="006E2046">
        <w:rPr>
          <w:rFonts w:ascii="Times New Roman" w:eastAsia="Times New Roman" w:hAnsi="Times New Roman" w:cs="Times New Roman"/>
          <w:sz w:val="24"/>
          <w:szCs w:val="24"/>
        </w:rPr>
        <w:t>, 111 AD2d 476, 478 [3d Dept 1985] [</w:t>
      </w:r>
      <w:r w:rsidR="00E90EC4" w:rsidRPr="006E2046">
        <w:rPr>
          <w:rFonts w:ascii="Times New Roman" w:eastAsia="Times New Roman" w:hAnsi="Times New Roman" w:cs="Times New Roman"/>
          <w:iCs/>
          <w:sz w:val="24"/>
          <w:szCs w:val="24"/>
        </w:rPr>
        <w:t>“</w:t>
      </w:r>
      <w:r w:rsidR="00AC39BB" w:rsidRPr="006E2046">
        <w:rPr>
          <w:rFonts w:ascii="Times New Roman" w:eastAsia="Times New Roman" w:hAnsi="Times New Roman" w:cs="Times New Roman"/>
          <w:sz w:val="24"/>
          <w:szCs w:val="24"/>
        </w:rPr>
        <w:t xml:space="preserve">Since the report was prepared pursuant to statutory mandate, it </w:t>
      </w:r>
      <w:r w:rsidR="00E90EC4" w:rsidRPr="006E2046">
        <w:rPr>
          <w:rFonts w:ascii="Times New Roman" w:eastAsia="Times New Roman" w:hAnsi="Times New Roman" w:cs="Times New Roman"/>
          <w:sz w:val="24"/>
          <w:szCs w:val="24"/>
        </w:rPr>
        <w:t>was at the very least admissible under the public documents common-law exception to the hearsay rule</w:t>
      </w:r>
      <w:r w:rsidR="00AC39BB" w:rsidRPr="006E2046">
        <w:rPr>
          <w:rFonts w:ascii="Times New Roman" w:eastAsia="Times New Roman" w:hAnsi="Times New Roman" w:cs="Times New Roman"/>
          <w:sz w:val="24"/>
          <w:szCs w:val="24"/>
        </w:rPr>
        <w:t>”</w:t>
      </w:r>
      <w:r w:rsidR="001655CA" w:rsidRPr="006E2046">
        <w:rPr>
          <w:rFonts w:ascii="Times New Roman" w:eastAsia="Times New Roman" w:hAnsi="Times New Roman" w:cs="Times New Roman"/>
          <w:sz w:val="24"/>
          <w:szCs w:val="24"/>
        </w:rPr>
        <w:t>];</w:t>
      </w:r>
      <w:r w:rsidR="00F769F1" w:rsidRPr="006E2046">
        <w:rPr>
          <w:rFonts w:ascii="Times New Roman" w:eastAsia="Times New Roman" w:hAnsi="Times New Roman" w:cs="Times New Roman"/>
          <w:i/>
          <w:iCs/>
          <w:sz w:val="24"/>
          <w:szCs w:val="24"/>
        </w:rPr>
        <w:t xml:space="preserve"> </w:t>
      </w:r>
      <w:r w:rsidR="00C81311" w:rsidRPr="006E2046">
        <w:rPr>
          <w:rFonts w:ascii="Times New Roman" w:eastAsia="Times New Roman" w:hAnsi="Times New Roman" w:cs="Times New Roman"/>
          <w:i/>
          <w:iCs/>
          <w:sz w:val="24"/>
          <w:szCs w:val="24"/>
          <w:bdr w:val="none" w:sz="0" w:space="0" w:color="auto" w:frame="1"/>
        </w:rPr>
        <w:t>Donovan v W</w:t>
      </w:r>
      <w:r w:rsidR="00CC3633" w:rsidRPr="006E2046">
        <w:rPr>
          <w:rFonts w:ascii="Times New Roman" w:eastAsia="Times New Roman" w:hAnsi="Times New Roman" w:cs="Times New Roman"/>
          <w:i/>
          <w:iCs/>
          <w:sz w:val="24"/>
          <w:szCs w:val="24"/>
          <w:bdr w:val="none" w:sz="0" w:space="0" w:color="auto" w:frame="1"/>
        </w:rPr>
        <w:t>est</w:t>
      </w:r>
      <w:r w:rsidR="00C81311" w:rsidRPr="006E2046">
        <w:rPr>
          <w:rFonts w:ascii="Times New Roman" w:eastAsia="Times New Roman" w:hAnsi="Times New Roman" w:cs="Times New Roman"/>
          <w:i/>
          <w:iCs/>
          <w:sz w:val="24"/>
          <w:szCs w:val="24"/>
          <w:bdr w:val="none" w:sz="0" w:space="0" w:color="auto" w:frame="1"/>
        </w:rPr>
        <w:t xml:space="preserve"> Indian Am. Day Carnival Assn</w:t>
      </w:r>
      <w:r w:rsidR="00CC3633" w:rsidRPr="006E2046">
        <w:rPr>
          <w:rFonts w:ascii="Times New Roman" w:eastAsia="Times New Roman" w:hAnsi="Times New Roman" w:cs="Times New Roman"/>
          <w:i/>
          <w:iCs/>
          <w:sz w:val="24"/>
          <w:szCs w:val="24"/>
          <w:bdr w:val="none" w:sz="0" w:space="0" w:color="auto" w:frame="1"/>
        </w:rPr>
        <w:t>.</w:t>
      </w:r>
      <w:r w:rsidR="00C81311" w:rsidRPr="006E2046">
        <w:rPr>
          <w:rFonts w:ascii="Times New Roman" w:eastAsia="Times New Roman" w:hAnsi="Times New Roman" w:cs="Times New Roman"/>
          <w:i/>
          <w:iCs/>
          <w:sz w:val="24"/>
          <w:szCs w:val="24"/>
          <w:bdr w:val="none" w:sz="0" w:space="0" w:color="auto" w:frame="1"/>
        </w:rPr>
        <w:t>, Inc.</w:t>
      </w:r>
      <w:r w:rsidR="00C81311" w:rsidRPr="006E2046">
        <w:rPr>
          <w:rFonts w:ascii="Times New Roman" w:eastAsia="Times New Roman" w:hAnsi="Times New Roman" w:cs="Times New Roman"/>
          <w:sz w:val="24"/>
          <w:szCs w:val="24"/>
        </w:rPr>
        <w:t>, 6 Misc 3d 1016</w:t>
      </w:r>
      <w:r w:rsidR="00CC3633" w:rsidRPr="006E2046">
        <w:rPr>
          <w:rFonts w:ascii="Times New Roman" w:eastAsia="Times New Roman" w:hAnsi="Times New Roman" w:cs="Times New Roman"/>
          <w:sz w:val="24"/>
          <w:szCs w:val="24"/>
        </w:rPr>
        <w:t>[</w:t>
      </w:r>
      <w:r w:rsidR="00C81311" w:rsidRPr="006E2046">
        <w:rPr>
          <w:rFonts w:ascii="Times New Roman" w:eastAsia="Times New Roman" w:hAnsi="Times New Roman" w:cs="Times New Roman"/>
          <w:sz w:val="24"/>
          <w:szCs w:val="24"/>
        </w:rPr>
        <w:t>A</w:t>
      </w:r>
      <w:r w:rsidR="00CC3633" w:rsidRPr="006E2046">
        <w:rPr>
          <w:rFonts w:ascii="Times New Roman" w:eastAsia="Times New Roman" w:hAnsi="Times New Roman" w:cs="Times New Roman"/>
          <w:sz w:val="24"/>
          <w:szCs w:val="24"/>
        </w:rPr>
        <w:t>], 2005 NY Slip Op 50052[U], *11</w:t>
      </w:r>
      <w:r w:rsidR="00C81311" w:rsidRPr="006E2046">
        <w:rPr>
          <w:rFonts w:ascii="Times New Roman" w:eastAsia="Times New Roman" w:hAnsi="Times New Roman" w:cs="Times New Roman"/>
          <w:sz w:val="24"/>
          <w:szCs w:val="24"/>
        </w:rPr>
        <w:t xml:space="preserve"> [Sup Ct</w:t>
      </w:r>
      <w:r w:rsidR="00CC3633" w:rsidRPr="006E2046">
        <w:rPr>
          <w:rFonts w:ascii="Times New Roman" w:eastAsia="Times New Roman" w:hAnsi="Times New Roman" w:cs="Times New Roman"/>
          <w:sz w:val="24"/>
          <w:szCs w:val="24"/>
        </w:rPr>
        <w:t>, Kings County</w:t>
      </w:r>
      <w:r w:rsidR="00C81311" w:rsidRPr="006E2046">
        <w:rPr>
          <w:rFonts w:ascii="Times New Roman" w:eastAsia="Times New Roman" w:hAnsi="Times New Roman" w:cs="Times New Roman"/>
          <w:sz w:val="24"/>
          <w:szCs w:val="24"/>
        </w:rPr>
        <w:t xml:space="preserve"> 2005]</w:t>
      </w:r>
      <w:r w:rsidR="00B95CA0" w:rsidRPr="006E2046">
        <w:rPr>
          <w:rFonts w:ascii="Times New Roman" w:eastAsia="Times New Roman" w:hAnsi="Times New Roman" w:cs="Times New Roman"/>
          <w:sz w:val="24"/>
          <w:szCs w:val="24"/>
        </w:rPr>
        <w:t xml:space="preserve"> </w:t>
      </w:r>
      <w:r w:rsidR="00D45B21" w:rsidRPr="006E2046">
        <w:rPr>
          <w:rFonts w:ascii="Times New Roman" w:eastAsia="Times New Roman" w:hAnsi="Times New Roman" w:cs="Times New Roman"/>
          <w:sz w:val="24"/>
          <w:szCs w:val="24"/>
        </w:rPr>
        <w:t>[</w:t>
      </w:r>
      <w:r w:rsidR="00B95CA0" w:rsidRPr="006E2046">
        <w:rPr>
          <w:rFonts w:ascii="Times New Roman" w:eastAsia="Times New Roman" w:hAnsi="Times New Roman" w:cs="Times New Roman"/>
          <w:sz w:val="24"/>
          <w:szCs w:val="24"/>
        </w:rPr>
        <w:t>the “</w:t>
      </w:r>
      <w:r w:rsidR="00C81311" w:rsidRPr="006E2046">
        <w:rPr>
          <w:rFonts w:ascii="Times New Roman" w:eastAsia="Times New Roman" w:hAnsi="Times New Roman" w:cs="Times New Roman"/>
          <w:sz w:val="24"/>
          <w:szCs w:val="24"/>
        </w:rPr>
        <w:t>report was made under statutory mandate and the court finds said document sufficiently trustworthy to be admissible under, at the very least, the common law public documents exception to the rule against hearsay</w:t>
      </w:r>
      <w:r w:rsidR="00B95CA0" w:rsidRPr="006E2046">
        <w:rPr>
          <w:rFonts w:ascii="Times New Roman" w:eastAsia="Times New Roman" w:hAnsi="Times New Roman" w:cs="Times New Roman"/>
          <w:sz w:val="24"/>
          <w:szCs w:val="24"/>
        </w:rPr>
        <w:t>”]</w:t>
      </w:r>
      <w:r w:rsidR="003A788D" w:rsidRPr="006E2046">
        <w:rPr>
          <w:rFonts w:ascii="Times New Roman" w:eastAsia="Times New Roman" w:hAnsi="Times New Roman" w:cs="Times New Roman"/>
          <w:sz w:val="24"/>
          <w:szCs w:val="24"/>
        </w:rPr>
        <w:t>).</w:t>
      </w:r>
      <w:r w:rsidR="00B95CA0" w:rsidRPr="006E2046">
        <w:rPr>
          <w:rFonts w:ascii="Times New Roman" w:eastAsia="Times New Roman" w:hAnsi="Times New Roman" w:cs="Times New Roman"/>
          <w:sz w:val="24"/>
          <w:szCs w:val="24"/>
        </w:rPr>
        <w:t xml:space="preserve"> </w:t>
      </w:r>
    </w:p>
    <w:p w14:paraId="1700A7EB" w14:textId="77777777" w:rsidR="00C83631" w:rsidRPr="006E2046" w:rsidRDefault="00C83631" w:rsidP="000D7330">
      <w:pPr>
        <w:shd w:val="clear" w:color="auto" w:fill="FFFFFF"/>
        <w:spacing w:after="0" w:line="276" w:lineRule="auto"/>
        <w:jc w:val="both"/>
        <w:rPr>
          <w:rFonts w:ascii="Times New Roman" w:eastAsia="Times New Roman" w:hAnsi="Times New Roman" w:cs="Times New Roman"/>
          <w:sz w:val="24"/>
          <w:szCs w:val="24"/>
        </w:rPr>
      </w:pPr>
    </w:p>
    <w:p w14:paraId="570712B5" w14:textId="7FF0F8FD" w:rsidR="003E413E" w:rsidRPr="006E2046" w:rsidRDefault="00EB58D6" w:rsidP="000D7330">
      <w:pPr>
        <w:shd w:val="clear" w:color="auto" w:fill="FFFFFF"/>
        <w:spacing w:after="0" w:line="276" w:lineRule="auto"/>
        <w:jc w:val="both"/>
        <w:rPr>
          <w:rFonts w:ascii="Times New Roman" w:hAnsi="Times New Roman" w:cs="Times New Roman"/>
          <w:sz w:val="24"/>
          <w:szCs w:val="24"/>
          <w:shd w:val="clear" w:color="auto" w:fill="FFFFFF"/>
        </w:rPr>
      </w:pPr>
      <w:r w:rsidRPr="006E2046">
        <w:rPr>
          <w:rFonts w:ascii="Times New Roman" w:eastAsia="Times New Roman" w:hAnsi="Times New Roman" w:cs="Times New Roman"/>
          <w:iCs/>
          <w:sz w:val="24"/>
          <w:szCs w:val="24"/>
        </w:rPr>
        <w:tab/>
      </w:r>
      <w:bookmarkEnd w:id="4"/>
      <w:r w:rsidR="00DC2EF5" w:rsidRPr="006E2046">
        <w:rPr>
          <w:rFonts w:ascii="Times New Roman" w:eastAsia="Times New Roman" w:hAnsi="Times New Roman" w:cs="Times New Roman"/>
          <w:iCs/>
          <w:sz w:val="24"/>
          <w:szCs w:val="24"/>
        </w:rPr>
        <w:t xml:space="preserve">In its decision, </w:t>
      </w:r>
      <w:r w:rsidR="00DC2EF5" w:rsidRPr="006E2046">
        <w:rPr>
          <w:rFonts w:ascii="Times New Roman" w:eastAsia="Times New Roman" w:hAnsi="Times New Roman" w:cs="Times New Roman"/>
          <w:i/>
          <w:sz w:val="24"/>
          <w:szCs w:val="24"/>
        </w:rPr>
        <w:t>Donovan</w:t>
      </w:r>
      <w:r w:rsidR="00DC2EF5" w:rsidRPr="006E2046">
        <w:rPr>
          <w:rFonts w:ascii="Times New Roman" w:eastAsia="Times New Roman" w:hAnsi="Times New Roman" w:cs="Times New Roman"/>
          <w:iCs/>
          <w:sz w:val="24"/>
          <w:szCs w:val="24"/>
        </w:rPr>
        <w:t xml:space="preserve"> noted that it was applying </w:t>
      </w:r>
      <w:r w:rsidR="00856E0A" w:rsidRPr="006E2046">
        <w:rPr>
          <w:rFonts w:ascii="Times New Roman" w:eastAsia="Times New Roman" w:hAnsi="Times New Roman" w:cs="Times New Roman"/>
          <w:iCs/>
          <w:sz w:val="24"/>
          <w:szCs w:val="24"/>
        </w:rPr>
        <w:t>the “</w:t>
      </w:r>
      <w:r w:rsidR="00856E0A" w:rsidRPr="006E2046">
        <w:rPr>
          <w:rFonts w:ascii="Times New Roman" w:eastAsia="Times New Roman" w:hAnsi="Times New Roman" w:cs="Times New Roman"/>
          <w:i/>
          <w:sz w:val="24"/>
          <w:szCs w:val="24"/>
        </w:rPr>
        <w:t>Cramer/Bogdan</w:t>
      </w:r>
      <w:r w:rsidR="00856E0A" w:rsidRPr="006E2046">
        <w:rPr>
          <w:rFonts w:ascii="Times New Roman" w:eastAsia="Times New Roman" w:hAnsi="Times New Roman" w:cs="Times New Roman"/>
          <w:iCs/>
          <w:sz w:val="24"/>
          <w:szCs w:val="24"/>
        </w:rPr>
        <w:t xml:space="preserve"> analysis.” </w:t>
      </w:r>
      <w:r w:rsidR="00DC2EF5" w:rsidRPr="006E2046">
        <w:rPr>
          <w:rFonts w:ascii="Times New Roman" w:hAnsi="Times New Roman" w:cs="Times New Roman"/>
          <w:i/>
          <w:sz w:val="24"/>
          <w:szCs w:val="24"/>
          <w:shd w:val="clear" w:color="auto" w:fill="FFFFFF"/>
        </w:rPr>
        <w:t>Bogdan</w:t>
      </w:r>
      <w:r w:rsidR="00DC2EF5" w:rsidRPr="006E2046">
        <w:rPr>
          <w:rFonts w:ascii="Times New Roman" w:hAnsi="Times New Roman" w:cs="Times New Roman"/>
          <w:i/>
          <w:iCs/>
          <w:sz w:val="24"/>
          <w:szCs w:val="24"/>
          <w:shd w:val="clear" w:color="auto" w:fill="FFFFFF"/>
        </w:rPr>
        <w:t xml:space="preserve"> </w:t>
      </w:r>
      <w:r w:rsidR="00DC2EF5" w:rsidRPr="006E2046">
        <w:rPr>
          <w:rFonts w:ascii="Times New Roman" w:hAnsi="Times New Roman" w:cs="Times New Roman"/>
          <w:sz w:val="24"/>
          <w:szCs w:val="24"/>
          <w:shd w:val="clear" w:color="auto" w:fill="FFFFFF"/>
        </w:rPr>
        <w:t>(168 Misc 2d 856)</w:t>
      </w:r>
      <w:r w:rsidR="002161A3" w:rsidRPr="006E2046">
        <w:rPr>
          <w:rFonts w:ascii="Times New Roman" w:hAnsi="Times New Roman" w:cs="Times New Roman"/>
          <w:sz w:val="24"/>
          <w:szCs w:val="24"/>
          <w:shd w:val="clear" w:color="auto" w:fill="FFFFFF"/>
        </w:rPr>
        <w:t xml:space="preserve"> </w:t>
      </w:r>
      <w:r w:rsidR="003651A0" w:rsidRPr="006E2046">
        <w:rPr>
          <w:rFonts w:ascii="Times New Roman" w:hAnsi="Times New Roman" w:cs="Times New Roman"/>
          <w:sz w:val="24"/>
          <w:szCs w:val="24"/>
          <w:shd w:val="clear" w:color="auto" w:fill="FFFFFF"/>
        </w:rPr>
        <w:t>addressed the</w:t>
      </w:r>
      <w:r w:rsidR="00692817" w:rsidRPr="006E2046">
        <w:rPr>
          <w:rFonts w:ascii="Times New Roman" w:hAnsi="Times New Roman" w:cs="Times New Roman"/>
          <w:sz w:val="24"/>
          <w:szCs w:val="24"/>
          <w:shd w:val="clear" w:color="auto" w:fill="FFFFFF"/>
        </w:rPr>
        <w:t xml:space="preserve"> admissibility and </w:t>
      </w:r>
      <w:r w:rsidR="003651A0" w:rsidRPr="006E2046">
        <w:rPr>
          <w:rFonts w:ascii="Times New Roman" w:hAnsi="Times New Roman" w:cs="Times New Roman"/>
          <w:sz w:val="24"/>
          <w:szCs w:val="24"/>
          <w:shd w:val="clear" w:color="auto" w:fill="FFFFFF"/>
        </w:rPr>
        <w:t xml:space="preserve">parameters </w:t>
      </w:r>
      <w:r w:rsidR="00692817" w:rsidRPr="006E2046">
        <w:rPr>
          <w:rFonts w:ascii="Times New Roman" w:hAnsi="Times New Roman" w:cs="Times New Roman"/>
          <w:sz w:val="24"/>
          <w:szCs w:val="24"/>
          <w:shd w:val="clear" w:color="auto" w:fill="FFFFFF"/>
        </w:rPr>
        <w:t>there</w:t>
      </w:r>
      <w:r w:rsidR="003651A0" w:rsidRPr="006E2046">
        <w:rPr>
          <w:rFonts w:ascii="Times New Roman" w:hAnsi="Times New Roman" w:cs="Times New Roman"/>
          <w:sz w:val="24"/>
          <w:szCs w:val="24"/>
          <w:shd w:val="clear" w:color="auto" w:fill="FFFFFF"/>
        </w:rPr>
        <w:t xml:space="preserve">of </w:t>
      </w:r>
      <w:r w:rsidR="00DA27DC" w:rsidRPr="006E2046">
        <w:rPr>
          <w:rFonts w:ascii="Times New Roman" w:hAnsi="Times New Roman" w:cs="Times New Roman"/>
          <w:sz w:val="24"/>
          <w:szCs w:val="24"/>
          <w:shd w:val="clear" w:color="auto" w:fill="FFFFFF"/>
        </w:rPr>
        <w:t xml:space="preserve">of </w:t>
      </w:r>
      <w:r w:rsidR="00DA27DC" w:rsidRPr="006E2046">
        <w:rPr>
          <w:rFonts w:ascii="Times New Roman" w:eastAsia="Times New Roman" w:hAnsi="Times New Roman" w:cs="Times New Roman"/>
          <w:iCs/>
          <w:sz w:val="24"/>
          <w:szCs w:val="24"/>
        </w:rPr>
        <w:t xml:space="preserve">documents of the </w:t>
      </w:r>
      <w:r w:rsidR="00DA27DC" w:rsidRPr="006E2046">
        <w:rPr>
          <w:rFonts w:ascii="Times New Roman" w:eastAsia="Times New Roman" w:hAnsi="Times New Roman" w:cs="Times New Roman"/>
          <w:sz w:val="24"/>
          <w:szCs w:val="24"/>
        </w:rPr>
        <w:t xml:space="preserve">Office of Professional Medical Conduct </w:t>
      </w:r>
      <w:r w:rsidR="0053409A" w:rsidRPr="006E2046">
        <w:rPr>
          <w:rFonts w:ascii="Times New Roman" w:eastAsia="Times New Roman" w:hAnsi="Times New Roman" w:cs="Times New Roman"/>
          <w:sz w:val="24"/>
          <w:szCs w:val="24"/>
        </w:rPr>
        <w:t>(</w:t>
      </w:r>
      <w:r w:rsidR="00DA27DC" w:rsidRPr="006E2046">
        <w:rPr>
          <w:rFonts w:ascii="Times New Roman" w:hAnsi="Times New Roman" w:cs="Times New Roman"/>
          <w:sz w:val="24"/>
          <w:szCs w:val="24"/>
          <w:shd w:val="clear" w:color="auto" w:fill="FFFFFF"/>
        </w:rPr>
        <w:t>OPMC</w:t>
      </w:r>
      <w:r w:rsidR="0053409A" w:rsidRPr="006E2046">
        <w:rPr>
          <w:rFonts w:ascii="Times New Roman" w:hAnsi="Times New Roman" w:cs="Times New Roman"/>
          <w:sz w:val="24"/>
          <w:szCs w:val="24"/>
          <w:shd w:val="clear" w:color="auto" w:fill="FFFFFF"/>
        </w:rPr>
        <w:t>)</w:t>
      </w:r>
      <w:r w:rsidR="002D1836" w:rsidRPr="006E2046">
        <w:rPr>
          <w:rFonts w:ascii="Times New Roman" w:hAnsi="Times New Roman" w:cs="Times New Roman"/>
          <w:sz w:val="24"/>
          <w:szCs w:val="24"/>
          <w:shd w:val="clear" w:color="auto" w:fill="FFFFFF"/>
        </w:rPr>
        <w:t xml:space="preserve">. </w:t>
      </w:r>
      <w:r w:rsidR="00180B83" w:rsidRPr="006E2046">
        <w:rPr>
          <w:rFonts w:ascii="Times New Roman" w:hAnsi="Times New Roman" w:cs="Times New Roman"/>
          <w:sz w:val="24"/>
          <w:szCs w:val="24"/>
          <w:shd w:val="clear" w:color="auto" w:fill="FFFFFF"/>
        </w:rPr>
        <w:t>While</w:t>
      </w:r>
      <w:r w:rsidR="00DA27DC" w:rsidRPr="006E2046">
        <w:rPr>
          <w:rFonts w:ascii="Times New Roman" w:hAnsi="Times New Roman" w:cs="Times New Roman"/>
          <w:sz w:val="24"/>
          <w:szCs w:val="24"/>
          <w:shd w:val="clear" w:color="auto" w:fill="FFFFFF"/>
        </w:rPr>
        <w:t xml:space="preserve"> </w:t>
      </w:r>
      <w:r w:rsidR="00D03D29" w:rsidRPr="006E2046">
        <w:rPr>
          <w:rFonts w:ascii="Times New Roman" w:hAnsi="Times New Roman" w:cs="Times New Roman"/>
          <w:sz w:val="24"/>
          <w:szCs w:val="24"/>
          <w:shd w:val="clear" w:color="auto" w:fill="FFFFFF"/>
        </w:rPr>
        <w:t xml:space="preserve">the </w:t>
      </w:r>
      <w:r w:rsidR="005C3A20" w:rsidRPr="006E2046">
        <w:rPr>
          <w:rFonts w:ascii="Times New Roman" w:hAnsi="Times New Roman" w:cs="Times New Roman"/>
          <w:sz w:val="24"/>
          <w:szCs w:val="24"/>
          <w:shd w:val="clear" w:color="auto" w:fill="FFFFFF"/>
        </w:rPr>
        <w:t xml:space="preserve">records </w:t>
      </w:r>
      <w:r w:rsidR="00535DFE" w:rsidRPr="006E2046">
        <w:rPr>
          <w:rFonts w:ascii="Times New Roman" w:hAnsi="Times New Roman" w:cs="Times New Roman"/>
          <w:sz w:val="24"/>
          <w:szCs w:val="24"/>
          <w:shd w:val="clear" w:color="auto" w:fill="FFFFFF"/>
        </w:rPr>
        <w:t xml:space="preserve">may </w:t>
      </w:r>
      <w:r w:rsidR="003F731C" w:rsidRPr="006E2046">
        <w:rPr>
          <w:rFonts w:ascii="Times New Roman" w:hAnsi="Times New Roman" w:cs="Times New Roman"/>
          <w:sz w:val="24"/>
          <w:szCs w:val="24"/>
          <w:shd w:val="clear" w:color="auto" w:fill="FFFFFF"/>
        </w:rPr>
        <w:t>have been</w:t>
      </w:r>
      <w:r w:rsidR="00D03D29" w:rsidRPr="006E2046">
        <w:rPr>
          <w:rFonts w:ascii="Times New Roman" w:hAnsi="Times New Roman" w:cs="Times New Roman"/>
          <w:sz w:val="24"/>
          <w:szCs w:val="24"/>
          <w:shd w:val="clear" w:color="auto" w:fill="FFFFFF"/>
        </w:rPr>
        <w:t xml:space="preserve"> admissible pursuant to</w:t>
      </w:r>
      <w:r w:rsidR="00C83C27" w:rsidRPr="006E2046">
        <w:rPr>
          <w:rFonts w:ascii="Times New Roman" w:eastAsia="Times New Roman" w:hAnsi="Times New Roman" w:cs="Times New Roman"/>
          <w:sz w:val="24"/>
          <w:szCs w:val="24"/>
        </w:rPr>
        <w:t xml:space="preserve"> Public Health Law § 10 </w:t>
      </w:r>
      <w:r w:rsidR="00890EB0" w:rsidRPr="006E2046">
        <w:rPr>
          <w:rFonts w:ascii="Times New Roman" w:eastAsia="Times New Roman" w:hAnsi="Times New Roman" w:cs="Times New Roman"/>
          <w:sz w:val="24"/>
          <w:szCs w:val="24"/>
        </w:rPr>
        <w:t>(</w:t>
      </w:r>
      <w:r w:rsidR="003F731C" w:rsidRPr="006E2046">
        <w:rPr>
          <w:rFonts w:ascii="Times New Roman" w:eastAsia="Times New Roman" w:hAnsi="Times New Roman" w:cs="Times New Roman"/>
          <w:i/>
          <w:iCs/>
          <w:sz w:val="24"/>
          <w:szCs w:val="24"/>
          <w:bdr w:val="none" w:sz="0" w:space="0" w:color="auto" w:frame="1"/>
        </w:rPr>
        <w:t>Maraziti v Weber</w:t>
      </w:r>
      <w:r w:rsidR="003F731C" w:rsidRPr="006E2046">
        <w:rPr>
          <w:rFonts w:ascii="Times New Roman" w:eastAsia="Times New Roman" w:hAnsi="Times New Roman" w:cs="Times New Roman"/>
          <w:sz w:val="24"/>
          <w:szCs w:val="24"/>
        </w:rPr>
        <w:t>,</w:t>
      </w:r>
      <w:r w:rsidR="003F731C" w:rsidRPr="006E2046">
        <w:rPr>
          <w:rFonts w:ascii="Times New Roman" w:eastAsia="Times New Roman" w:hAnsi="Times New Roman" w:cs="Times New Roman"/>
          <w:i/>
          <w:iCs/>
          <w:sz w:val="24"/>
          <w:szCs w:val="24"/>
        </w:rPr>
        <w:t xml:space="preserve"> </w:t>
      </w:r>
      <w:r w:rsidR="003F731C" w:rsidRPr="006E2046">
        <w:rPr>
          <w:rFonts w:ascii="Times New Roman" w:eastAsia="Times New Roman" w:hAnsi="Times New Roman" w:cs="Times New Roman"/>
          <w:sz w:val="24"/>
          <w:szCs w:val="24"/>
        </w:rPr>
        <w:t>185 Misc 2d 624, 626</w:t>
      </w:r>
      <w:r w:rsidR="003F731C" w:rsidRPr="006E2046">
        <w:rPr>
          <w:rFonts w:ascii="Times New Roman" w:eastAsia="Times New Roman" w:hAnsi="Times New Roman" w:cs="Times New Roman"/>
          <w:i/>
          <w:iCs/>
          <w:sz w:val="24"/>
          <w:szCs w:val="24"/>
        </w:rPr>
        <w:t xml:space="preserve"> </w:t>
      </w:r>
      <w:r w:rsidR="003F731C" w:rsidRPr="006E2046">
        <w:rPr>
          <w:rFonts w:ascii="Times New Roman" w:eastAsia="Times New Roman" w:hAnsi="Times New Roman" w:cs="Times New Roman"/>
          <w:sz w:val="24"/>
          <w:szCs w:val="24"/>
        </w:rPr>
        <w:t>[Sup Ct</w:t>
      </w:r>
      <w:r w:rsidR="0053409A" w:rsidRPr="006E2046">
        <w:rPr>
          <w:rFonts w:ascii="Times New Roman" w:eastAsia="Times New Roman" w:hAnsi="Times New Roman" w:cs="Times New Roman"/>
          <w:sz w:val="24"/>
          <w:szCs w:val="24"/>
        </w:rPr>
        <w:t>, Dutchess County</w:t>
      </w:r>
      <w:r w:rsidR="003F731C" w:rsidRPr="006E2046">
        <w:rPr>
          <w:rFonts w:ascii="Times New Roman" w:eastAsia="Times New Roman" w:hAnsi="Times New Roman" w:cs="Times New Roman"/>
          <w:sz w:val="24"/>
          <w:szCs w:val="24"/>
        </w:rPr>
        <w:t xml:space="preserve"> 2000]</w:t>
      </w:r>
      <w:r w:rsidR="00890EB0" w:rsidRPr="006E2046">
        <w:rPr>
          <w:rFonts w:ascii="Times New Roman" w:eastAsia="Times New Roman" w:hAnsi="Times New Roman" w:cs="Times New Roman"/>
          <w:sz w:val="24"/>
          <w:szCs w:val="24"/>
        </w:rPr>
        <w:t xml:space="preserve">), the </w:t>
      </w:r>
      <w:r w:rsidR="00890EB0" w:rsidRPr="006E2046">
        <w:rPr>
          <w:rFonts w:ascii="Times New Roman" w:eastAsia="Times New Roman" w:hAnsi="Times New Roman" w:cs="Times New Roman"/>
          <w:i/>
          <w:iCs/>
          <w:sz w:val="24"/>
          <w:szCs w:val="24"/>
        </w:rPr>
        <w:t xml:space="preserve">Bogdan </w:t>
      </w:r>
      <w:r w:rsidR="00890EB0" w:rsidRPr="006E2046">
        <w:rPr>
          <w:rFonts w:ascii="Times New Roman" w:eastAsia="Times New Roman" w:hAnsi="Times New Roman" w:cs="Times New Roman"/>
          <w:sz w:val="24"/>
          <w:szCs w:val="24"/>
        </w:rPr>
        <w:t>court discusse</w:t>
      </w:r>
      <w:r w:rsidR="00A75C2E" w:rsidRPr="006E2046">
        <w:rPr>
          <w:rFonts w:ascii="Times New Roman" w:eastAsia="Times New Roman" w:hAnsi="Times New Roman" w:cs="Times New Roman"/>
          <w:sz w:val="24"/>
          <w:szCs w:val="24"/>
        </w:rPr>
        <w:t>d</w:t>
      </w:r>
      <w:r w:rsidR="00890EB0" w:rsidRPr="006E2046">
        <w:rPr>
          <w:rFonts w:ascii="Times New Roman" w:eastAsia="Times New Roman" w:hAnsi="Times New Roman" w:cs="Times New Roman"/>
          <w:sz w:val="24"/>
          <w:szCs w:val="24"/>
        </w:rPr>
        <w:t xml:space="preserve"> their admissibility under CPLR 4520 and the common law</w:t>
      </w:r>
      <w:r w:rsidR="002D1836" w:rsidRPr="006E2046">
        <w:rPr>
          <w:rFonts w:ascii="Times New Roman" w:eastAsia="Times New Roman" w:hAnsi="Times New Roman" w:cs="Times New Roman"/>
          <w:sz w:val="24"/>
          <w:szCs w:val="24"/>
        </w:rPr>
        <w:t xml:space="preserve">. </w:t>
      </w:r>
      <w:r w:rsidR="00207801" w:rsidRPr="006E2046">
        <w:rPr>
          <w:rFonts w:ascii="Times New Roman" w:hAnsi="Times New Roman" w:cs="Times New Roman"/>
          <w:i/>
          <w:iCs/>
          <w:sz w:val="24"/>
          <w:szCs w:val="24"/>
          <w:shd w:val="clear" w:color="auto" w:fill="FFFFFF"/>
        </w:rPr>
        <w:t>Bogdan</w:t>
      </w:r>
      <w:r w:rsidR="00207801" w:rsidRPr="006E2046">
        <w:rPr>
          <w:rFonts w:ascii="Times New Roman" w:hAnsi="Times New Roman" w:cs="Times New Roman"/>
          <w:sz w:val="24"/>
          <w:szCs w:val="24"/>
          <w:shd w:val="clear" w:color="auto" w:fill="FFFFFF"/>
        </w:rPr>
        <w:t xml:space="preserve"> was a</w:t>
      </w:r>
      <w:r w:rsidR="00677530" w:rsidRPr="006E2046">
        <w:rPr>
          <w:rFonts w:ascii="Times New Roman" w:hAnsi="Times New Roman" w:cs="Times New Roman"/>
          <w:sz w:val="24"/>
          <w:szCs w:val="24"/>
          <w:shd w:val="clear" w:color="auto" w:fill="FFFFFF"/>
        </w:rPr>
        <w:t xml:space="preserve"> breach of contract action arising out of the plaintiff physician</w:t>
      </w:r>
      <w:r w:rsidR="00DA7082"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s suspension by defendant hospital</w:t>
      </w:r>
      <w:r w:rsidR="00902A03"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 xml:space="preserve"> the hospital offered an OPMC report to prove plaintiff</w:t>
      </w:r>
      <w:r w:rsidR="00DA7082"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s incompetence, which would justify the suspension. The report detailed the result of hearings held by OPMC, and included findings of fact, determinations of departures by plaintiff from generally accepted standards of practice</w:t>
      </w:r>
      <w:r w:rsidR="00902A03"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 xml:space="preserve"> and conclusions as to instances of gross negligence or incompetence. Plaintiff in turn offered a report of the Public Health Council (PHC), stating the hospital had acted improperly</w:t>
      </w:r>
      <w:r w:rsidR="00851E1A" w:rsidRPr="006E2046">
        <w:rPr>
          <w:rFonts w:ascii="Times New Roman" w:hAnsi="Times New Roman" w:cs="Times New Roman"/>
          <w:sz w:val="24"/>
          <w:szCs w:val="24"/>
          <w:shd w:val="clear" w:color="auto" w:fill="FFFFFF"/>
        </w:rPr>
        <w:t xml:space="preserve"> </w:t>
      </w:r>
      <w:r w:rsidR="00677530" w:rsidRPr="006E2046">
        <w:rPr>
          <w:rFonts w:ascii="Times New Roman" w:hAnsi="Times New Roman" w:cs="Times New Roman"/>
          <w:sz w:val="24"/>
          <w:szCs w:val="24"/>
          <w:shd w:val="clear" w:color="auto" w:fill="FFFFFF"/>
        </w:rPr>
        <w:t>in summarily suspending the plaintiff.</w:t>
      </w:r>
      <w:r w:rsidR="00207801" w:rsidRPr="006E2046">
        <w:rPr>
          <w:rFonts w:ascii="Times New Roman" w:hAnsi="Times New Roman" w:cs="Times New Roman"/>
          <w:sz w:val="24"/>
          <w:szCs w:val="24"/>
          <w:shd w:val="clear" w:color="auto" w:fill="FFFFFF"/>
        </w:rPr>
        <w:t xml:space="preserve"> </w:t>
      </w:r>
      <w:r w:rsidR="00677530" w:rsidRPr="006E2046">
        <w:rPr>
          <w:rFonts w:ascii="Times New Roman" w:hAnsi="Times New Roman" w:cs="Times New Roman"/>
          <w:sz w:val="24"/>
          <w:szCs w:val="24"/>
          <w:shd w:val="clear" w:color="auto" w:fill="FFFFFF"/>
        </w:rPr>
        <w:t xml:space="preserve">Supreme Court </w:t>
      </w:r>
      <w:r w:rsidR="00D967AC" w:rsidRPr="006E2046">
        <w:rPr>
          <w:rFonts w:ascii="Times New Roman" w:hAnsi="Times New Roman" w:cs="Times New Roman"/>
          <w:sz w:val="24"/>
          <w:szCs w:val="24"/>
          <w:shd w:val="clear" w:color="auto" w:fill="FFFFFF"/>
        </w:rPr>
        <w:t>initially held CPLR 4520 was not applicable to the reports as those documents were neither certificates or affidavits. However, the court, influenced by F</w:t>
      </w:r>
      <w:r w:rsidR="00902A03" w:rsidRPr="006E2046">
        <w:rPr>
          <w:rFonts w:ascii="Times New Roman" w:hAnsi="Times New Roman" w:cs="Times New Roman"/>
          <w:sz w:val="24"/>
          <w:szCs w:val="24"/>
          <w:shd w:val="clear" w:color="auto" w:fill="FFFFFF"/>
        </w:rPr>
        <w:t xml:space="preserve">ederal </w:t>
      </w:r>
      <w:r w:rsidR="00D967AC" w:rsidRPr="006E2046">
        <w:rPr>
          <w:rFonts w:ascii="Times New Roman" w:hAnsi="Times New Roman" w:cs="Times New Roman"/>
          <w:sz w:val="24"/>
          <w:szCs w:val="24"/>
          <w:shd w:val="clear" w:color="auto" w:fill="FFFFFF"/>
        </w:rPr>
        <w:t>R</w:t>
      </w:r>
      <w:r w:rsidR="00902A03" w:rsidRPr="006E2046">
        <w:rPr>
          <w:rFonts w:ascii="Times New Roman" w:hAnsi="Times New Roman" w:cs="Times New Roman"/>
          <w:sz w:val="24"/>
          <w:szCs w:val="24"/>
          <w:shd w:val="clear" w:color="auto" w:fill="FFFFFF"/>
        </w:rPr>
        <w:t xml:space="preserve">ules of </w:t>
      </w:r>
      <w:r w:rsidR="00D967AC" w:rsidRPr="006E2046">
        <w:rPr>
          <w:rFonts w:ascii="Times New Roman" w:hAnsi="Times New Roman" w:cs="Times New Roman"/>
          <w:sz w:val="24"/>
          <w:szCs w:val="24"/>
          <w:shd w:val="clear" w:color="auto" w:fill="FFFFFF"/>
        </w:rPr>
        <w:t>E</w:t>
      </w:r>
      <w:r w:rsidR="00902A03" w:rsidRPr="006E2046">
        <w:rPr>
          <w:rFonts w:ascii="Times New Roman" w:hAnsi="Times New Roman" w:cs="Times New Roman"/>
          <w:sz w:val="24"/>
          <w:szCs w:val="24"/>
          <w:shd w:val="clear" w:color="auto" w:fill="FFFFFF"/>
        </w:rPr>
        <w:t>vidence rule</w:t>
      </w:r>
      <w:r w:rsidR="00D967AC" w:rsidRPr="006E2046">
        <w:rPr>
          <w:rFonts w:ascii="Times New Roman" w:hAnsi="Times New Roman" w:cs="Times New Roman"/>
          <w:sz w:val="24"/>
          <w:szCs w:val="24"/>
          <w:shd w:val="clear" w:color="auto" w:fill="FFFFFF"/>
        </w:rPr>
        <w:t xml:space="preserve"> 803</w:t>
      </w:r>
      <w:r w:rsidR="00902A03" w:rsidRPr="006E2046">
        <w:rPr>
          <w:rFonts w:ascii="Times New Roman" w:hAnsi="Times New Roman" w:cs="Times New Roman"/>
          <w:sz w:val="24"/>
          <w:szCs w:val="24"/>
          <w:shd w:val="clear" w:color="auto" w:fill="FFFFFF"/>
        </w:rPr>
        <w:t xml:space="preserve"> </w:t>
      </w:r>
      <w:r w:rsidR="00D967AC" w:rsidRPr="006E2046">
        <w:rPr>
          <w:rFonts w:ascii="Times New Roman" w:hAnsi="Times New Roman" w:cs="Times New Roman"/>
          <w:sz w:val="24"/>
          <w:szCs w:val="24"/>
          <w:shd w:val="clear" w:color="auto" w:fill="FFFFFF"/>
        </w:rPr>
        <w:t>(8)</w:t>
      </w:r>
      <w:r w:rsidR="00902A03" w:rsidRPr="006E2046">
        <w:rPr>
          <w:rFonts w:ascii="Times New Roman" w:hAnsi="Times New Roman" w:cs="Times New Roman"/>
          <w:sz w:val="24"/>
          <w:szCs w:val="24"/>
          <w:shd w:val="clear" w:color="auto" w:fill="FFFFFF"/>
        </w:rPr>
        <w:t xml:space="preserve"> </w:t>
      </w:r>
      <w:r w:rsidR="00D967AC" w:rsidRPr="006E2046">
        <w:rPr>
          <w:rFonts w:ascii="Times New Roman" w:hAnsi="Times New Roman" w:cs="Times New Roman"/>
          <w:sz w:val="24"/>
          <w:szCs w:val="24"/>
          <w:shd w:val="clear" w:color="auto" w:fill="FFFFFF"/>
        </w:rPr>
        <w:t xml:space="preserve">(C), </w:t>
      </w:r>
      <w:r w:rsidR="00677530" w:rsidRPr="006E2046">
        <w:rPr>
          <w:rFonts w:ascii="Times New Roman" w:hAnsi="Times New Roman" w:cs="Times New Roman"/>
          <w:sz w:val="24"/>
          <w:szCs w:val="24"/>
          <w:shd w:val="clear" w:color="auto" w:fill="FFFFFF"/>
        </w:rPr>
        <w:t xml:space="preserve">held admissibility of the reports may be appropriate under </w:t>
      </w:r>
      <w:r w:rsidR="00CE3426" w:rsidRPr="006E2046">
        <w:rPr>
          <w:rFonts w:ascii="Times New Roman" w:hAnsi="Times New Roman" w:cs="Times New Roman"/>
          <w:sz w:val="24"/>
          <w:szCs w:val="24"/>
          <w:shd w:val="clear" w:color="auto" w:fill="FFFFFF"/>
        </w:rPr>
        <w:t>the</w:t>
      </w:r>
      <w:r w:rsidR="00D967AC" w:rsidRPr="006E2046">
        <w:rPr>
          <w:rFonts w:ascii="Times New Roman" w:hAnsi="Times New Roman" w:cs="Times New Roman"/>
          <w:sz w:val="24"/>
          <w:szCs w:val="24"/>
          <w:shd w:val="clear" w:color="auto" w:fill="FFFFFF"/>
        </w:rPr>
        <w:t xml:space="preserve"> </w:t>
      </w:r>
      <w:r w:rsidR="00677530" w:rsidRPr="006E2046">
        <w:rPr>
          <w:rFonts w:ascii="Times New Roman" w:hAnsi="Times New Roman" w:cs="Times New Roman"/>
          <w:sz w:val="24"/>
          <w:szCs w:val="24"/>
          <w:shd w:val="clear" w:color="auto" w:fill="FFFFFF"/>
        </w:rPr>
        <w:t>common law</w:t>
      </w:r>
      <w:r w:rsidR="00760CA6" w:rsidRPr="006E2046">
        <w:rPr>
          <w:rFonts w:ascii="Times New Roman" w:hAnsi="Times New Roman" w:cs="Times New Roman"/>
          <w:sz w:val="24"/>
          <w:szCs w:val="24"/>
          <w:shd w:val="clear" w:color="auto" w:fill="FFFFFF"/>
        </w:rPr>
        <w:t xml:space="preserve"> </w:t>
      </w:r>
      <w:r w:rsidR="00DD48F9" w:rsidRPr="006E2046">
        <w:rPr>
          <w:rFonts w:ascii="Times New Roman" w:hAnsi="Times New Roman" w:cs="Times New Roman"/>
          <w:sz w:val="24"/>
          <w:szCs w:val="24"/>
          <w:shd w:val="clear" w:color="auto" w:fill="FFFFFF"/>
        </w:rPr>
        <w:t xml:space="preserve">that </w:t>
      </w:r>
      <w:r w:rsidR="007E4636" w:rsidRPr="006E2046">
        <w:rPr>
          <w:rFonts w:ascii="Times New Roman" w:hAnsi="Times New Roman" w:cs="Times New Roman"/>
          <w:sz w:val="24"/>
          <w:szCs w:val="24"/>
          <w:shd w:val="clear" w:color="auto" w:fill="FFFFFF"/>
        </w:rPr>
        <w:t>would authorize the a</w:t>
      </w:r>
      <w:r w:rsidR="00677530" w:rsidRPr="006E2046">
        <w:rPr>
          <w:rFonts w:ascii="Times New Roman" w:hAnsi="Times New Roman" w:cs="Times New Roman"/>
          <w:sz w:val="24"/>
          <w:szCs w:val="24"/>
          <w:shd w:val="clear" w:color="auto" w:fill="FFFFFF"/>
        </w:rPr>
        <w:t>dmissibility of the reports</w:t>
      </w:r>
      <w:r w:rsidR="001B0AE2"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 xml:space="preserve"> subject to </w:t>
      </w:r>
      <w:r w:rsidR="00D967AC" w:rsidRPr="006E2046">
        <w:rPr>
          <w:rFonts w:ascii="Times New Roman" w:hAnsi="Times New Roman" w:cs="Times New Roman"/>
          <w:sz w:val="24"/>
          <w:szCs w:val="24"/>
          <w:shd w:val="clear" w:color="auto" w:fill="FFFFFF"/>
        </w:rPr>
        <w:t xml:space="preserve">a </w:t>
      </w:r>
      <w:r w:rsidR="00677530" w:rsidRPr="006E2046">
        <w:rPr>
          <w:rFonts w:ascii="Times New Roman" w:hAnsi="Times New Roman" w:cs="Times New Roman"/>
          <w:sz w:val="24"/>
          <w:szCs w:val="24"/>
          <w:shd w:val="clear" w:color="auto" w:fill="FFFFFF"/>
        </w:rPr>
        <w:t>trustworthiness analysis.</w:t>
      </w:r>
      <w:r w:rsidR="00D967AC" w:rsidRPr="006E2046">
        <w:rPr>
          <w:rFonts w:ascii="Times New Roman" w:hAnsi="Times New Roman" w:cs="Times New Roman"/>
          <w:sz w:val="24"/>
          <w:szCs w:val="24"/>
          <w:shd w:val="clear" w:color="auto" w:fill="FFFFFF"/>
        </w:rPr>
        <w:t xml:space="preserve"> (</w:t>
      </w:r>
      <w:r w:rsidR="00D967AC" w:rsidRPr="006E2046">
        <w:rPr>
          <w:rFonts w:ascii="Times New Roman" w:hAnsi="Times New Roman" w:cs="Times New Roman"/>
          <w:i/>
          <w:iCs/>
          <w:sz w:val="24"/>
          <w:szCs w:val="24"/>
          <w:shd w:val="clear" w:color="auto" w:fill="FFFFFF"/>
        </w:rPr>
        <w:t>Id.</w:t>
      </w:r>
      <w:r w:rsidR="00D967AC" w:rsidRPr="006E2046">
        <w:rPr>
          <w:rFonts w:ascii="Times New Roman" w:hAnsi="Times New Roman" w:cs="Times New Roman"/>
          <w:sz w:val="24"/>
          <w:szCs w:val="24"/>
          <w:shd w:val="clear" w:color="auto" w:fill="FFFFFF"/>
        </w:rPr>
        <w:t xml:space="preserve"> at 859-860</w:t>
      </w:r>
      <w:r w:rsidR="00412CF6" w:rsidRPr="006E2046">
        <w:rPr>
          <w:rFonts w:ascii="Times New Roman" w:hAnsi="Times New Roman" w:cs="Times New Roman"/>
          <w:sz w:val="24"/>
          <w:szCs w:val="24"/>
          <w:shd w:val="clear" w:color="auto" w:fill="FFFFFF"/>
        </w:rPr>
        <w:t>.</w:t>
      </w:r>
      <w:r w:rsidR="00D967AC" w:rsidRPr="006E2046">
        <w:rPr>
          <w:rFonts w:ascii="Times New Roman" w:hAnsi="Times New Roman" w:cs="Times New Roman"/>
          <w:sz w:val="24"/>
          <w:szCs w:val="24"/>
          <w:shd w:val="clear" w:color="auto" w:fill="FFFFFF"/>
        </w:rPr>
        <w:t xml:space="preserve">) </w:t>
      </w:r>
      <w:r w:rsidR="00677530" w:rsidRPr="006E2046">
        <w:rPr>
          <w:rFonts w:ascii="Times New Roman" w:hAnsi="Times New Roman" w:cs="Times New Roman"/>
          <w:sz w:val="24"/>
          <w:szCs w:val="24"/>
          <w:shd w:val="clear" w:color="auto" w:fill="FFFFFF"/>
        </w:rPr>
        <w:t>Upon applying the trustworthiness factors, Supreme Court admitted the OPMC findings of fact as they resulted from detailed hearings, but not the conclusions of negligence and incompetence</w:t>
      </w:r>
      <w:r w:rsidR="00A64CBE"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 xml:space="preserve"> </w:t>
      </w:r>
      <w:r w:rsidR="00A64CBE" w:rsidRPr="006E2046">
        <w:rPr>
          <w:rFonts w:ascii="Times New Roman" w:hAnsi="Times New Roman" w:cs="Times New Roman"/>
          <w:sz w:val="24"/>
          <w:szCs w:val="24"/>
          <w:shd w:val="clear" w:color="auto" w:fill="FFFFFF"/>
        </w:rPr>
        <w:t>holding</w:t>
      </w:r>
      <w:r w:rsidR="00677530" w:rsidRPr="006E2046">
        <w:rPr>
          <w:rFonts w:ascii="Times New Roman" w:hAnsi="Times New Roman" w:cs="Times New Roman"/>
          <w:sz w:val="24"/>
          <w:szCs w:val="24"/>
          <w:shd w:val="clear" w:color="auto" w:fill="FFFFFF"/>
        </w:rPr>
        <w:t xml:space="preserve"> they were matters for the jury</w:t>
      </w:r>
      <w:r w:rsidR="00412CF6" w:rsidRPr="006E2046">
        <w:rPr>
          <w:rFonts w:ascii="Times New Roman" w:hAnsi="Times New Roman" w:cs="Times New Roman"/>
          <w:sz w:val="24"/>
          <w:szCs w:val="24"/>
          <w:shd w:val="clear" w:color="auto" w:fill="FFFFFF"/>
        </w:rPr>
        <w:t>.</w:t>
      </w:r>
      <w:r w:rsidR="00D967AC" w:rsidRPr="006E2046">
        <w:rPr>
          <w:rFonts w:ascii="Times New Roman" w:hAnsi="Times New Roman" w:cs="Times New Roman"/>
          <w:sz w:val="24"/>
          <w:szCs w:val="24"/>
          <w:shd w:val="clear" w:color="auto" w:fill="FFFFFF"/>
        </w:rPr>
        <w:t xml:space="preserve"> (</w:t>
      </w:r>
      <w:r w:rsidR="00D967AC" w:rsidRPr="006E2046">
        <w:rPr>
          <w:rFonts w:ascii="Times New Roman" w:hAnsi="Times New Roman" w:cs="Times New Roman"/>
          <w:i/>
          <w:iCs/>
          <w:sz w:val="24"/>
          <w:szCs w:val="24"/>
          <w:shd w:val="clear" w:color="auto" w:fill="FFFFFF"/>
        </w:rPr>
        <w:t>Id</w:t>
      </w:r>
      <w:r w:rsidR="00D967AC" w:rsidRPr="006E2046">
        <w:rPr>
          <w:rFonts w:ascii="Times New Roman" w:hAnsi="Times New Roman" w:cs="Times New Roman"/>
          <w:sz w:val="24"/>
          <w:szCs w:val="24"/>
          <w:shd w:val="clear" w:color="auto" w:fill="FFFFFF"/>
        </w:rPr>
        <w:t>. at 861</w:t>
      </w:r>
      <w:r w:rsidR="00412CF6" w:rsidRPr="006E2046">
        <w:rPr>
          <w:rFonts w:ascii="Times New Roman" w:hAnsi="Times New Roman" w:cs="Times New Roman"/>
          <w:sz w:val="24"/>
          <w:szCs w:val="24"/>
          <w:shd w:val="clear" w:color="auto" w:fill="FFFFFF"/>
        </w:rPr>
        <w:t>.</w:t>
      </w:r>
      <w:r w:rsidR="00D967AC" w:rsidRPr="006E2046">
        <w:rPr>
          <w:rFonts w:ascii="Times New Roman" w:hAnsi="Times New Roman" w:cs="Times New Roman"/>
          <w:sz w:val="24"/>
          <w:szCs w:val="24"/>
          <w:shd w:val="clear" w:color="auto" w:fill="FFFFFF"/>
        </w:rPr>
        <w:t>)</w:t>
      </w:r>
      <w:r w:rsidR="00F914E3" w:rsidRPr="006E2046">
        <w:rPr>
          <w:rFonts w:ascii="Times New Roman" w:hAnsi="Times New Roman" w:cs="Times New Roman"/>
          <w:sz w:val="24"/>
          <w:szCs w:val="24"/>
          <w:shd w:val="clear" w:color="auto" w:fill="FFFFFF"/>
        </w:rPr>
        <w:t xml:space="preserve"> </w:t>
      </w:r>
      <w:r w:rsidR="00677530" w:rsidRPr="006E2046">
        <w:rPr>
          <w:rFonts w:ascii="Times New Roman" w:hAnsi="Times New Roman" w:cs="Times New Roman"/>
          <w:sz w:val="24"/>
          <w:szCs w:val="24"/>
          <w:shd w:val="clear" w:color="auto" w:fill="FFFFFF"/>
        </w:rPr>
        <w:t xml:space="preserve">The PHC report was rejected because of its brief and conclusory nature and because </w:t>
      </w:r>
      <w:r w:rsidR="00DA7082" w:rsidRPr="006E2046">
        <w:rPr>
          <w:rFonts w:ascii="Times New Roman" w:hAnsi="Times New Roman" w:cs="Times New Roman"/>
          <w:sz w:val="24"/>
          <w:szCs w:val="24"/>
          <w:shd w:val="clear" w:color="auto" w:fill="FFFFFF"/>
        </w:rPr>
        <w:t>“</w:t>
      </w:r>
      <w:r w:rsidR="00677530" w:rsidRPr="006E2046">
        <w:rPr>
          <w:rFonts w:ascii="Times New Roman" w:hAnsi="Times New Roman" w:cs="Times New Roman"/>
          <w:sz w:val="24"/>
          <w:szCs w:val="24"/>
          <w:shd w:val="clear" w:color="auto" w:fill="FFFFFF"/>
        </w:rPr>
        <w:t>[n]o hearings were held and no investigation [was] conducted beyond consideration of written submissions from each party.</w:t>
      </w:r>
      <w:r w:rsidR="00DA7082" w:rsidRPr="006E2046">
        <w:rPr>
          <w:rFonts w:ascii="Times New Roman" w:hAnsi="Times New Roman" w:cs="Times New Roman"/>
          <w:sz w:val="24"/>
          <w:szCs w:val="24"/>
          <w:shd w:val="clear" w:color="auto" w:fill="FFFFFF"/>
        </w:rPr>
        <w:t>”</w:t>
      </w:r>
      <w:r w:rsidR="00851E1A" w:rsidRPr="006E2046">
        <w:rPr>
          <w:rFonts w:ascii="Times New Roman" w:hAnsi="Times New Roman" w:cs="Times New Roman"/>
          <w:sz w:val="24"/>
          <w:szCs w:val="24"/>
          <w:shd w:val="clear" w:color="auto" w:fill="FFFFFF"/>
        </w:rPr>
        <w:t xml:space="preserve"> (</w:t>
      </w:r>
      <w:r w:rsidR="00851E1A" w:rsidRPr="006E2046">
        <w:rPr>
          <w:rFonts w:ascii="Times New Roman" w:hAnsi="Times New Roman" w:cs="Times New Roman"/>
          <w:i/>
          <w:iCs/>
          <w:sz w:val="24"/>
          <w:szCs w:val="24"/>
          <w:shd w:val="clear" w:color="auto" w:fill="FFFFFF"/>
        </w:rPr>
        <w:t>Id.</w:t>
      </w:r>
      <w:r w:rsidR="00851E1A" w:rsidRPr="006E2046">
        <w:rPr>
          <w:rFonts w:ascii="Times New Roman" w:hAnsi="Times New Roman" w:cs="Times New Roman"/>
          <w:sz w:val="24"/>
          <w:szCs w:val="24"/>
          <w:shd w:val="clear" w:color="auto" w:fill="FFFFFF"/>
        </w:rPr>
        <w:t xml:space="preserve"> at 861-862</w:t>
      </w:r>
      <w:r w:rsidR="00412CF6" w:rsidRPr="006E2046">
        <w:rPr>
          <w:rFonts w:ascii="Times New Roman" w:hAnsi="Times New Roman" w:cs="Times New Roman"/>
          <w:sz w:val="24"/>
          <w:szCs w:val="24"/>
          <w:shd w:val="clear" w:color="auto" w:fill="FFFFFF"/>
        </w:rPr>
        <w:t>.</w:t>
      </w:r>
      <w:r w:rsidR="00851E1A" w:rsidRPr="006E2046">
        <w:rPr>
          <w:rFonts w:ascii="Times New Roman" w:hAnsi="Times New Roman" w:cs="Times New Roman"/>
          <w:sz w:val="24"/>
          <w:szCs w:val="24"/>
          <w:shd w:val="clear" w:color="auto" w:fill="FFFFFF"/>
        </w:rPr>
        <w:t>)</w:t>
      </w:r>
      <w:r w:rsidR="00F914E3" w:rsidRPr="006E2046">
        <w:rPr>
          <w:rFonts w:ascii="Times New Roman" w:hAnsi="Times New Roman" w:cs="Times New Roman"/>
          <w:sz w:val="24"/>
          <w:szCs w:val="24"/>
          <w:shd w:val="clear" w:color="auto" w:fill="FFFFFF"/>
        </w:rPr>
        <w:t xml:space="preserve"> </w:t>
      </w:r>
    </w:p>
    <w:sectPr w:rsidR="003E413E" w:rsidRPr="006E2046" w:rsidSect="00E64D08">
      <w:footerReference w:type="default" r:id="rId9"/>
      <w:pgSz w:w="12240" w:h="15840"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6DAA7" w14:textId="77777777" w:rsidR="00747CA6" w:rsidRDefault="00747CA6" w:rsidP="00EA5245">
      <w:pPr>
        <w:spacing w:after="0" w:line="240" w:lineRule="auto"/>
      </w:pPr>
      <w:r>
        <w:separator/>
      </w:r>
    </w:p>
  </w:endnote>
  <w:endnote w:type="continuationSeparator" w:id="0">
    <w:p w14:paraId="37F461C3" w14:textId="77777777" w:rsidR="00747CA6" w:rsidRDefault="00747CA6" w:rsidP="00EA5245">
      <w:pPr>
        <w:spacing w:after="0" w:line="240" w:lineRule="auto"/>
      </w:pPr>
      <w:r>
        <w:continuationSeparator/>
      </w:r>
    </w:p>
  </w:endnote>
  <w:endnote w:type="continuationNotice" w:id="1">
    <w:p w14:paraId="71A9D71B" w14:textId="77777777" w:rsidR="00747CA6" w:rsidRDefault="00747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999872"/>
      <w:docPartObj>
        <w:docPartGallery w:val="Page Numbers (Bottom of Page)"/>
        <w:docPartUnique/>
      </w:docPartObj>
    </w:sdtPr>
    <w:sdtEndPr>
      <w:rPr>
        <w:noProof/>
      </w:rPr>
    </w:sdtEndPr>
    <w:sdtContent>
      <w:p w14:paraId="044B3420" w14:textId="513E480E" w:rsidR="00E64D08" w:rsidRDefault="00E64D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18519" w14:textId="77777777" w:rsidR="00747CA6" w:rsidRDefault="00747CA6" w:rsidP="00EA5245">
      <w:pPr>
        <w:spacing w:after="0" w:line="240" w:lineRule="auto"/>
      </w:pPr>
      <w:r>
        <w:separator/>
      </w:r>
    </w:p>
  </w:footnote>
  <w:footnote w:type="continuationSeparator" w:id="0">
    <w:p w14:paraId="06F42539" w14:textId="77777777" w:rsidR="00747CA6" w:rsidRDefault="00747CA6" w:rsidP="00EA5245">
      <w:pPr>
        <w:spacing w:after="0" w:line="240" w:lineRule="auto"/>
      </w:pPr>
      <w:r>
        <w:continuationSeparator/>
      </w:r>
    </w:p>
  </w:footnote>
  <w:footnote w:type="continuationNotice" w:id="1">
    <w:p w14:paraId="68BC72D9" w14:textId="77777777" w:rsidR="00747CA6" w:rsidRDefault="00747C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FB5"/>
    <w:multiLevelType w:val="hybridMultilevel"/>
    <w:tmpl w:val="0F92CA38"/>
    <w:lvl w:ilvl="0" w:tplc="C138154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E835779"/>
    <w:multiLevelType w:val="hybridMultilevel"/>
    <w:tmpl w:val="7C96FB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6A81235"/>
    <w:multiLevelType w:val="hybridMultilevel"/>
    <w:tmpl w:val="99143550"/>
    <w:lvl w:ilvl="0" w:tplc="84229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34388"/>
    <w:multiLevelType w:val="hybridMultilevel"/>
    <w:tmpl w:val="FE022D96"/>
    <w:lvl w:ilvl="0" w:tplc="BD502EA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FEB17FB"/>
    <w:multiLevelType w:val="hybridMultilevel"/>
    <w:tmpl w:val="7C96FB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5191E6F"/>
    <w:multiLevelType w:val="hybridMultilevel"/>
    <w:tmpl w:val="641E3C68"/>
    <w:lvl w:ilvl="0" w:tplc="4D9CC774">
      <w:start w:val="1"/>
      <w:numFmt w:val="lowerLetter"/>
      <w:lvlText w:val="(%1)"/>
      <w:lvlJc w:val="left"/>
      <w:pPr>
        <w:ind w:left="360" w:hanging="360"/>
      </w:pPr>
      <w:rPr>
        <w:rFonts w:hint="default"/>
        <w:color w:val="3D3D3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B66B75"/>
    <w:multiLevelType w:val="hybridMultilevel"/>
    <w:tmpl w:val="7C96FB24"/>
    <w:lvl w:ilvl="0" w:tplc="DB18D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2794648">
    <w:abstractNumId w:val="0"/>
  </w:num>
  <w:num w:numId="2" w16cid:durableId="76638553">
    <w:abstractNumId w:val="2"/>
  </w:num>
  <w:num w:numId="3" w16cid:durableId="2021472204">
    <w:abstractNumId w:val="3"/>
  </w:num>
  <w:num w:numId="4" w16cid:durableId="1281105508">
    <w:abstractNumId w:val="5"/>
  </w:num>
  <w:num w:numId="5" w16cid:durableId="1137141409">
    <w:abstractNumId w:val="6"/>
  </w:num>
  <w:num w:numId="6" w16cid:durableId="470825609">
    <w:abstractNumId w:val="4"/>
  </w:num>
  <w:num w:numId="7" w16cid:durableId="23478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19"/>
    <w:rsid w:val="00001012"/>
    <w:rsid w:val="000010A9"/>
    <w:rsid w:val="00001E45"/>
    <w:rsid w:val="0000289C"/>
    <w:rsid w:val="000050AC"/>
    <w:rsid w:val="000110E0"/>
    <w:rsid w:val="00012E95"/>
    <w:rsid w:val="0002115B"/>
    <w:rsid w:val="000218AC"/>
    <w:rsid w:val="00023B4F"/>
    <w:rsid w:val="00024900"/>
    <w:rsid w:val="00025135"/>
    <w:rsid w:val="00033750"/>
    <w:rsid w:val="00036465"/>
    <w:rsid w:val="000370DA"/>
    <w:rsid w:val="00037450"/>
    <w:rsid w:val="00046D78"/>
    <w:rsid w:val="0005697A"/>
    <w:rsid w:val="00056E8A"/>
    <w:rsid w:val="00057293"/>
    <w:rsid w:val="000574B9"/>
    <w:rsid w:val="00063708"/>
    <w:rsid w:val="00063D4A"/>
    <w:rsid w:val="00072B1B"/>
    <w:rsid w:val="00073691"/>
    <w:rsid w:val="0007459F"/>
    <w:rsid w:val="00074A3A"/>
    <w:rsid w:val="0008090D"/>
    <w:rsid w:val="00080B24"/>
    <w:rsid w:val="00083C78"/>
    <w:rsid w:val="00087359"/>
    <w:rsid w:val="00087CFC"/>
    <w:rsid w:val="00090219"/>
    <w:rsid w:val="00090348"/>
    <w:rsid w:val="00091AEB"/>
    <w:rsid w:val="000945BB"/>
    <w:rsid w:val="00097030"/>
    <w:rsid w:val="000A1709"/>
    <w:rsid w:val="000A3998"/>
    <w:rsid w:val="000A477A"/>
    <w:rsid w:val="000B01C0"/>
    <w:rsid w:val="000B0AC7"/>
    <w:rsid w:val="000C0D84"/>
    <w:rsid w:val="000C15D1"/>
    <w:rsid w:val="000C4CFC"/>
    <w:rsid w:val="000C5400"/>
    <w:rsid w:val="000D3DF9"/>
    <w:rsid w:val="000D7330"/>
    <w:rsid w:val="000E4C8D"/>
    <w:rsid w:val="000E7CD8"/>
    <w:rsid w:val="000F1673"/>
    <w:rsid w:val="000F519C"/>
    <w:rsid w:val="000F6E27"/>
    <w:rsid w:val="000F793C"/>
    <w:rsid w:val="00103D47"/>
    <w:rsid w:val="00105338"/>
    <w:rsid w:val="00105BC2"/>
    <w:rsid w:val="001159E5"/>
    <w:rsid w:val="00115A30"/>
    <w:rsid w:val="00120434"/>
    <w:rsid w:val="00122827"/>
    <w:rsid w:val="0013011B"/>
    <w:rsid w:val="001320D6"/>
    <w:rsid w:val="00136BDB"/>
    <w:rsid w:val="00136CBF"/>
    <w:rsid w:val="00137583"/>
    <w:rsid w:val="00140811"/>
    <w:rsid w:val="0014202E"/>
    <w:rsid w:val="001424B4"/>
    <w:rsid w:val="001611B4"/>
    <w:rsid w:val="00163CEB"/>
    <w:rsid w:val="00164CB6"/>
    <w:rsid w:val="001655CA"/>
    <w:rsid w:val="001676D6"/>
    <w:rsid w:val="0017175C"/>
    <w:rsid w:val="00177A61"/>
    <w:rsid w:val="00180094"/>
    <w:rsid w:val="00180B83"/>
    <w:rsid w:val="001830DF"/>
    <w:rsid w:val="00184D2C"/>
    <w:rsid w:val="00187E50"/>
    <w:rsid w:val="001932C6"/>
    <w:rsid w:val="00193465"/>
    <w:rsid w:val="0019400F"/>
    <w:rsid w:val="0019541D"/>
    <w:rsid w:val="00195550"/>
    <w:rsid w:val="00195B37"/>
    <w:rsid w:val="00197F93"/>
    <w:rsid w:val="001A4398"/>
    <w:rsid w:val="001B0AE2"/>
    <w:rsid w:val="001B5471"/>
    <w:rsid w:val="001B61D0"/>
    <w:rsid w:val="001C0A5E"/>
    <w:rsid w:val="001C35C9"/>
    <w:rsid w:val="001C60D7"/>
    <w:rsid w:val="001C7A39"/>
    <w:rsid w:val="001D3796"/>
    <w:rsid w:val="001D53D8"/>
    <w:rsid w:val="001D5A58"/>
    <w:rsid w:val="001D6D67"/>
    <w:rsid w:val="001E0C98"/>
    <w:rsid w:val="001E56CD"/>
    <w:rsid w:val="001E5D92"/>
    <w:rsid w:val="001E6A38"/>
    <w:rsid w:val="001E7D96"/>
    <w:rsid w:val="001F02C2"/>
    <w:rsid w:val="001F479D"/>
    <w:rsid w:val="001F5032"/>
    <w:rsid w:val="001F617C"/>
    <w:rsid w:val="002009D5"/>
    <w:rsid w:val="00203891"/>
    <w:rsid w:val="002047E2"/>
    <w:rsid w:val="0020764E"/>
    <w:rsid w:val="00207801"/>
    <w:rsid w:val="002132BC"/>
    <w:rsid w:val="002161A3"/>
    <w:rsid w:val="0021662B"/>
    <w:rsid w:val="002235BE"/>
    <w:rsid w:val="002264FA"/>
    <w:rsid w:val="00230AC9"/>
    <w:rsid w:val="00233401"/>
    <w:rsid w:val="00244297"/>
    <w:rsid w:val="00247987"/>
    <w:rsid w:val="002522A0"/>
    <w:rsid w:val="002559C9"/>
    <w:rsid w:val="00256AC9"/>
    <w:rsid w:val="0026089C"/>
    <w:rsid w:val="00264191"/>
    <w:rsid w:val="00265FE3"/>
    <w:rsid w:val="002675EF"/>
    <w:rsid w:val="00275BB5"/>
    <w:rsid w:val="002766C3"/>
    <w:rsid w:val="00276BE5"/>
    <w:rsid w:val="00277183"/>
    <w:rsid w:val="00281186"/>
    <w:rsid w:val="00290F05"/>
    <w:rsid w:val="00291252"/>
    <w:rsid w:val="00291285"/>
    <w:rsid w:val="0029204C"/>
    <w:rsid w:val="002929D5"/>
    <w:rsid w:val="00292C22"/>
    <w:rsid w:val="00293CBA"/>
    <w:rsid w:val="00293D4E"/>
    <w:rsid w:val="002959B0"/>
    <w:rsid w:val="002970AE"/>
    <w:rsid w:val="00297678"/>
    <w:rsid w:val="002A3CE5"/>
    <w:rsid w:val="002A58FA"/>
    <w:rsid w:val="002A6618"/>
    <w:rsid w:val="002B5F87"/>
    <w:rsid w:val="002C2030"/>
    <w:rsid w:val="002C586A"/>
    <w:rsid w:val="002C5FF9"/>
    <w:rsid w:val="002C6407"/>
    <w:rsid w:val="002C71DF"/>
    <w:rsid w:val="002D1836"/>
    <w:rsid w:val="002D29F1"/>
    <w:rsid w:val="002D32CF"/>
    <w:rsid w:val="002D3E9D"/>
    <w:rsid w:val="002D45D5"/>
    <w:rsid w:val="002D6FDD"/>
    <w:rsid w:val="002D785E"/>
    <w:rsid w:val="002E4462"/>
    <w:rsid w:val="002F07B6"/>
    <w:rsid w:val="002F79D9"/>
    <w:rsid w:val="0030253B"/>
    <w:rsid w:val="00302DBA"/>
    <w:rsid w:val="00304E88"/>
    <w:rsid w:val="00306EC9"/>
    <w:rsid w:val="00310583"/>
    <w:rsid w:val="00311F11"/>
    <w:rsid w:val="003121D6"/>
    <w:rsid w:val="00317393"/>
    <w:rsid w:val="0032511C"/>
    <w:rsid w:val="003330A4"/>
    <w:rsid w:val="00335EA4"/>
    <w:rsid w:val="00335F70"/>
    <w:rsid w:val="00341755"/>
    <w:rsid w:val="00345E92"/>
    <w:rsid w:val="00350269"/>
    <w:rsid w:val="0035061B"/>
    <w:rsid w:val="00350E8B"/>
    <w:rsid w:val="00356EEF"/>
    <w:rsid w:val="00357199"/>
    <w:rsid w:val="00360C05"/>
    <w:rsid w:val="003651A0"/>
    <w:rsid w:val="00366A0D"/>
    <w:rsid w:val="00374488"/>
    <w:rsid w:val="0037476F"/>
    <w:rsid w:val="0038009B"/>
    <w:rsid w:val="00382298"/>
    <w:rsid w:val="00383022"/>
    <w:rsid w:val="003830A2"/>
    <w:rsid w:val="00385949"/>
    <w:rsid w:val="003967F9"/>
    <w:rsid w:val="003968C5"/>
    <w:rsid w:val="003A6AA0"/>
    <w:rsid w:val="003A788D"/>
    <w:rsid w:val="003B02E2"/>
    <w:rsid w:val="003B6AAF"/>
    <w:rsid w:val="003C0B96"/>
    <w:rsid w:val="003C2E2A"/>
    <w:rsid w:val="003C7E7B"/>
    <w:rsid w:val="003D26C5"/>
    <w:rsid w:val="003E209C"/>
    <w:rsid w:val="003E2350"/>
    <w:rsid w:val="003E28A5"/>
    <w:rsid w:val="003E413E"/>
    <w:rsid w:val="003E7BF2"/>
    <w:rsid w:val="003F5802"/>
    <w:rsid w:val="003F731C"/>
    <w:rsid w:val="003F76B5"/>
    <w:rsid w:val="00403F07"/>
    <w:rsid w:val="00412CF6"/>
    <w:rsid w:val="004145F1"/>
    <w:rsid w:val="00417638"/>
    <w:rsid w:val="0042709F"/>
    <w:rsid w:val="00436B7B"/>
    <w:rsid w:val="00436CF7"/>
    <w:rsid w:val="00437B0A"/>
    <w:rsid w:val="004444F4"/>
    <w:rsid w:val="004447E8"/>
    <w:rsid w:val="004454F5"/>
    <w:rsid w:val="00446270"/>
    <w:rsid w:val="00447AB4"/>
    <w:rsid w:val="00447C67"/>
    <w:rsid w:val="00452485"/>
    <w:rsid w:val="0045499A"/>
    <w:rsid w:val="00454E8C"/>
    <w:rsid w:val="0045657F"/>
    <w:rsid w:val="00463351"/>
    <w:rsid w:val="00465409"/>
    <w:rsid w:val="00466ECE"/>
    <w:rsid w:val="0047498F"/>
    <w:rsid w:val="00475072"/>
    <w:rsid w:val="00475894"/>
    <w:rsid w:val="00475938"/>
    <w:rsid w:val="00476E8D"/>
    <w:rsid w:val="004778C8"/>
    <w:rsid w:val="00483AB0"/>
    <w:rsid w:val="00486E9D"/>
    <w:rsid w:val="00496D5C"/>
    <w:rsid w:val="004A25AB"/>
    <w:rsid w:val="004A5096"/>
    <w:rsid w:val="004A733D"/>
    <w:rsid w:val="004C01C0"/>
    <w:rsid w:val="004C04B3"/>
    <w:rsid w:val="004C0D62"/>
    <w:rsid w:val="004C2BB2"/>
    <w:rsid w:val="004C32E9"/>
    <w:rsid w:val="004C478D"/>
    <w:rsid w:val="004C7D7E"/>
    <w:rsid w:val="004D38F6"/>
    <w:rsid w:val="004D4268"/>
    <w:rsid w:val="004D4C7B"/>
    <w:rsid w:val="004D6502"/>
    <w:rsid w:val="004D68DB"/>
    <w:rsid w:val="004D6A96"/>
    <w:rsid w:val="004E16D7"/>
    <w:rsid w:val="004E4B73"/>
    <w:rsid w:val="004F5DBE"/>
    <w:rsid w:val="004F60B3"/>
    <w:rsid w:val="004F7581"/>
    <w:rsid w:val="00501729"/>
    <w:rsid w:val="005035F4"/>
    <w:rsid w:val="0051233B"/>
    <w:rsid w:val="005218BD"/>
    <w:rsid w:val="00521A55"/>
    <w:rsid w:val="00522E49"/>
    <w:rsid w:val="00530B10"/>
    <w:rsid w:val="00533783"/>
    <w:rsid w:val="0053409A"/>
    <w:rsid w:val="00535DFE"/>
    <w:rsid w:val="00536151"/>
    <w:rsid w:val="0053720A"/>
    <w:rsid w:val="0054754E"/>
    <w:rsid w:val="00551415"/>
    <w:rsid w:val="00560BB7"/>
    <w:rsid w:val="0056534D"/>
    <w:rsid w:val="00567437"/>
    <w:rsid w:val="005703A4"/>
    <w:rsid w:val="00570B2B"/>
    <w:rsid w:val="005717AD"/>
    <w:rsid w:val="0057388B"/>
    <w:rsid w:val="0058537F"/>
    <w:rsid w:val="00587367"/>
    <w:rsid w:val="00590407"/>
    <w:rsid w:val="0059266F"/>
    <w:rsid w:val="0059325D"/>
    <w:rsid w:val="005939FB"/>
    <w:rsid w:val="00593BEE"/>
    <w:rsid w:val="00596E80"/>
    <w:rsid w:val="005A09C4"/>
    <w:rsid w:val="005A19A7"/>
    <w:rsid w:val="005A5CEA"/>
    <w:rsid w:val="005A7E24"/>
    <w:rsid w:val="005B551C"/>
    <w:rsid w:val="005B639A"/>
    <w:rsid w:val="005C3A20"/>
    <w:rsid w:val="005D39B5"/>
    <w:rsid w:val="005D558E"/>
    <w:rsid w:val="005D7514"/>
    <w:rsid w:val="005E0D7A"/>
    <w:rsid w:val="005E477E"/>
    <w:rsid w:val="005E4ED5"/>
    <w:rsid w:val="005E4EFF"/>
    <w:rsid w:val="005E73A9"/>
    <w:rsid w:val="005F06EA"/>
    <w:rsid w:val="005F302B"/>
    <w:rsid w:val="005F394B"/>
    <w:rsid w:val="005F3A93"/>
    <w:rsid w:val="006004A9"/>
    <w:rsid w:val="006005B4"/>
    <w:rsid w:val="006033E2"/>
    <w:rsid w:val="006035F8"/>
    <w:rsid w:val="00611268"/>
    <w:rsid w:val="0061469D"/>
    <w:rsid w:val="0061471F"/>
    <w:rsid w:val="00616AF2"/>
    <w:rsid w:val="00626871"/>
    <w:rsid w:val="00631985"/>
    <w:rsid w:val="006369F8"/>
    <w:rsid w:val="006406DD"/>
    <w:rsid w:val="00643E71"/>
    <w:rsid w:val="00645BB5"/>
    <w:rsid w:val="006463B3"/>
    <w:rsid w:val="006522F0"/>
    <w:rsid w:val="006524E8"/>
    <w:rsid w:val="00656A46"/>
    <w:rsid w:val="00667841"/>
    <w:rsid w:val="0067228E"/>
    <w:rsid w:val="00677530"/>
    <w:rsid w:val="00677AFF"/>
    <w:rsid w:val="006811B7"/>
    <w:rsid w:val="006859A4"/>
    <w:rsid w:val="00686BB3"/>
    <w:rsid w:val="00690FC6"/>
    <w:rsid w:val="00692817"/>
    <w:rsid w:val="006A1EFB"/>
    <w:rsid w:val="006A6544"/>
    <w:rsid w:val="006C2DFE"/>
    <w:rsid w:val="006C3E0C"/>
    <w:rsid w:val="006C5D73"/>
    <w:rsid w:val="006D1537"/>
    <w:rsid w:val="006D1BCE"/>
    <w:rsid w:val="006D593B"/>
    <w:rsid w:val="006D5BBB"/>
    <w:rsid w:val="006E0C55"/>
    <w:rsid w:val="006E2046"/>
    <w:rsid w:val="006E20E1"/>
    <w:rsid w:val="006E44B7"/>
    <w:rsid w:val="006E54B0"/>
    <w:rsid w:val="006F0162"/>
    <w:rsid w:val="006F7F12"/>
    <w:rsid w:val="007001E7"/>
    <w:rsid w:val="00701DEF"/>
    <w:rsid w:val="00705C3D"/>
    <w:rsid w:val="00706BC5"/>
    <w:rsid w:val="00707985"/>
    <w:rsid w:val="00710E53"/>
    <w:rsid w:val="00713233"/>
    <w:rsid w:val="00713660"/>
    <w:rsid w:val="0071437D"/>
    <w:rsid w:val="00714813"/>
    <w:rsid w:val="00717411"/>
    <w:rsid w:val="00722A9C"/>
    <w:rsid w:val="007251EA"/>
    <w:rsid w:val="00726C39"/>
    <w:rsid w:val="00726E68"/>
    <w:rsid w:val="007306BE"/>
    <w:rsid w:val="007336A6"/>
    <w:rsid w:val="007342A7"/>
    <w:rsid w:val="00735A12"/>
    <w:rsid w:val="007374E7"/>
    <w:rsid w:val="007406EE"/>
    <w:rsid w:val="00744EBB"/>
    <w:rsid w:val="00747CA6"/>
    <w:rsid w:val="00752240"/>
    <w:rsid w:val="00760CA6"/>
    <w:rsid w:val="00762CAE"/>
    <w:rsid w:val="00766D00"/>
    <w:rsid w:val="00766DE0"/>
    <w:rsid w:val="00774111"/>
    <w:rsid w:val="00774253"/>
    <w:rsid w:val="00775D09"/>
    <w:rsid w:val="00776AC5"/>
    <w:rsid w:val="00777569"/>
    <w:rsid w:val="00795857"/>
    <w:rsid w:val="007A0767"/>
    <w:rsid w:val="007A4F87"/>
    <w:rsid w:val="007A5217"/>
    <w:rsid w:val="007B2938"/>
    <w:rsid w:val="007C2869"/>
    <w:rsid w:val="007E08AE"/>
    <w:rsid w:val="007E4636"/>
    <w:rsid w:val="007E7EB0"/>
    <w:rsid w:val="007F0C56"/>
    <w:rsid w:val="007F41AA"/>
    <w:rsid w:val="007F4235"/>
    <w:rsid w:val="00800BFD"/>
    <w:rsid w:val="008010F2"/>
    <w:rsid w:val="00801ABE"/>
    <w:rsid w:val="00802421"/>
    <w:rsid w:val="0081024D"/>
    <w:rsid w:val="008127DA"/>
    <w:rsid w:val="008154F1"/>
    <w:rsid w:val="008168E6"/>
    <w:rsid w:val="00822B0A"/>
    <w:rsid w:val="00823E59"/>
    <w:rsid w:val="00824D28"/>
    <w:rsid w:val="00825633"/>
    <w:rsid w:val="0082607C"/>
    <w:rsid w:val="00830FB3"/>
    <w:rsid w:val="00833895"/>
    <w:rsid w:val="00836007"/>
    <w:rsid w:val="00836304"/>
    <w:rsid w:val="00836E8B"/>
    <w:rsid w:val="00843717"/>
    <w:rsid w:val="00843BC6"/>
    <w:rsid w:val="00847190"/>
    <w:rsid w:val="00851132"/>
    <w:rsid w:val="00851E1A"/>
    <w:rsid w:val="0085267C"/>
    <w:rsid w:val="00856E0A"/>
    <w:rsid w:val="008576AD"/>
    <w:rsid w:val="008606E6"/>
    <w:rsid w:val="00861406"/>
    <w:rsid w:val="008643BA"/>
    <w:rsid w:val="00866877"/>
    <w:rsid w:val="00871330"/>
    <w:rsid w:val="00873180"/>
    <w:rsid w:val="00873CBD"/>
    <w:rsid w:val="00877024"/>
    <w:rsid w:val="00880BD5"/>
    <w:rsid w:val="008810D4"/>
    <w:rsid w:val="008872D3"/>
    <w:rsid w:val="00887AA6"/>
    <w:rsid w:val="00890872"/>
    <w:rsid w:val="00890EB0"/>
    <w:rsid w:val="00892E84"/>
    <w:rsid w:val="008930B4"/>
    <w:rsid w:val="00895372"/>
    <w:rsid w:val="008A62FC"/>
    <w:rsid w:val="008C1E31"/>
    <w:rsid w:val="008C3912"/>
    <w:rsid w:val="008E07BE"/>
    <w:rsid w:val="008E4768"/>
    <w:rsid w:val="008E64EB"/>
    <w:rsid w:val="008F331B"/>
    <w:rsid w:val="00902A03"/>
    <w:rsid w:val="00903755"/>
    <w:rsid w:val="0091158F"/>
    <w:rsid w:val="009123FC"/>
    <w:rsid w:val="00920F8A"/>
    <w:rsid w:val="00921035"/>
    <w:rsid w:val="009222DC"/>
    <w:rsid w:val="00932F2B"/>
    <w:rsid w:val="00933AF2"/>
    <w:rsid w:val="00935226"/>
    <w:rsid w:val="00935A8E"/>
    <w:rsid w:val="00935AE2"/>
    <w:rsid w:val="009427F0"/>
    <w:rsid w:val="009458CA"/>
    <w:rsid w:val="009535B7"/>
    <w:rsid w:val="009551F2"/>
    <w:rsid w:val="00955733"/>
    <w:rsid w:val="0095626D"/>
    <w:rsid w:val="0096355D"/>
    <w:rsid w:val="00963F98"/>
    <w:rsid w:val="0096638D"/>
    <w:rsid w:val="00970FCD"/>
    <w:rsid w:val="00971307"/>
    <w:rsid w:val="00972C60"/>
    <w:rsid w:val="009736B7"/>
    <w:rsid w:val="009775D9"/>
    <w:rsid w:val="00977BCC"/>
    <w:rsid w:val="00983906"/>
    <w:rsid w:val="009901DF"/>
    <w:rsid w:val="0099085D"/>
    <w:rsid w:val="00990BFB"/>
    <w:rsid w:val="009910AF"/>
    <w:rsid w:val="009931E9"/>
    <w:rsid w:val="009A324E"/>
    <w:rsid w:val="009A51F8"/>
    <w:rsid w:val="009A5E87"/>
    <w:rsid w:val="009B0137"/>
    <w:rsid w:val="009B154C"/>
    <w:rsid w:val="009B2060"/>
    <w:rsid w:val="009B2085"/>
    <w:rsid w:val="009B2211"/>
    <w:rsid w:val="009B34DB"/>
    <w:rsid w:val="009B4C1B"/>
    <w:rsid w:val="009B7248"/>
    <w:rsid w:val="009B7B21"/>
    <w:rsid w:val="009C065C"/>
    <w:rsid w:val="009C4E4C"/>
    <w:rsid w:val="009C5B2C"/>
    <w:rsid w:val="009D056D"/>
    <w:rsid w:val="009D06F9"/>
    <w:rsid w:val="009D2603"/>
    <w:rsid w:val="009D7CB9"/>
    <w:rsid w:val="009F11A2"/>
    <w:rsid w:val="009F28DC"/>
    <w:rsid w:val="009F4329"/>
    <w:rsid w:val="009F642F"/>
    <w:rsid w:val="00A006A9"/>
    <w:rsid w:val="00A01450"/>
    <w:rsid w:val="00A0214F"/>
    <w:rsid w:val="00A11581"/>
    <w:rsid w:val="00A117BC"/>
    <w:rsid w:val="00A126E7"/>
    <w:rsid w:val="00A16CDC"/>
    <w:rsid w:val="00A16D0F"/>
    <w:rsid w:val="00A1750C"/>
    <w:rsid w:val="00A25AAC"/>
    <w:rsid w:val="00A27BEC"/>
    <w:rsid w:val="00A316D0"/>
    <w:rsid w:val="00A3437E"/>
    <w:rsid w:val="00A363F9"/>
    <w:rsid w:val="00A41D31"/>
    <w:rsid w:val="00A454FC"/>
    <w:rsid w:val="00A52037"/>
    <w:rsid w:val="00A54E19"/>
    <w:rsid w:val="00A55D12"/>
    <w:rsid w:val="00A5607A"/>
    <w:rsid w:val="00A64CBE"/>
    <w:rsid w:val="00A67C55"/>
    <w:rsid w:val="00A7199D"/>
    <w:rsid w:val="00A720C3"/>
    <w:rsid w:val="00A74894"/>
    <w:rsid w:val="00A75C2E"/>
    <w:rsid w:val="00A81E51"/>
    <w:rsid w:val="00A82416"/>
    <w:rsid w:val="00A839F6"/>
    <w:rsid w:val="00A8753D"/>
    <w:rsid w:val="00A92F71"/>
    <w:rsid w:val="00AA0AAA"/>
    <w:rsid w:val="00AA3AF2"/>
    <w:rsid w:val="00AA53F9"/>
    <w:rsid w:val="00AB1911"/>
    <w:rsid w:val="00AB3959"/>
    <w:rsid w:val="00AB4235"/>
    <w:rsid w:val="00AB43DE"/>
    <w:rsid w:val="00AB4AD3"/>
    <w:rsid w:val="00AB50DD"/>
    <w:rsid w:val="00AC39BB"/>
    <w:rsid w:val="00AC4380"/>
    <w:rsid w:val="00AC68CF"/>
    <w:rsid w:val="00AC6981"/>
    <w:rsid w:val="00AC6C59"/>
    <w:rsid w:val="00AD05E0"/>
    <w:rsid w:val="00AD30BD"/>
    <w:rsid w:val="00AD3844"/>
    <w:rsid w:val="00AE0A6B"/>
    <w:rsid w:val="00AE4A9E"/>
    <w:rsid w:val="00AE5E70"/>
    <w:rsid w:val="00AF10EF"/>
    <w:rsid w:val="00AF519F"/>
    <w:rsid w:val="00B00F9A"/>
    <w:rsid w:val="00B01370"/>
    <w:rsid w:val="00B03346"/>
    <w:rsid w:val="00B03B9A"/>
    <w:rsid w:val="00B053E6"/>
    <w:rsid w:val="00B06584"/>
    <w:rsid w:val="00B072BB"/>
    <w:rsid w:val="00B079B2"/>
    <w:rsid w:val="00B07C04"/>
    <w:rsid w:val="00B12D29"/>
    <w:rsid w:val="00B17413"/>
    <w:rsid w:val="00B26222"/>
    <w:rsid w:val="00B27C96"/>
    <w:rsid w:val="00B30414"/>
    <w:rsid w:val="00B32824"/>
    <w:rsid w:val="00B37B4B"/>
    <w:rsid w:val="00B43060"/>
    <w:rsid w:val="00B4568F"/>
    <w:rsid w:val="00B45E27"/>
    <w:rsid w:val="00B45ECE"/>
    <w:rsid w:val="00B50E72"/>
    <w:rsid w:val="00B53F74"/>
    <w:rsid w:val="00B54EB6"/>
    <w:rsid w:val="00B56525"/>
    <w:rsid w:val="00B63A48"/>
    <w:rsid w:val="00B63A67"/>
    <w:rsid w:val="00B66C49"/>
    <w:rsid w:val="00B7278F"/>
    <w:rsid w:val="00B8252A"/>
    <w:rsid w:val="00B837C9"/>
    <w:rsid w:val="00B8743D"/>
    <w:rsid w:val="00B93953"/>
    <w:rsid w:val="00B939E3"/>
    <w:rsid w:val="00B94CC4"/>
    <w:rsid w:val="00B95CA0"/>
    <w:rsid w:val="00BA0824"/>
    <w:rsid w:val="00BA2621"/>
    <w:rsid w:val="00BA3404"/>
    <w:rsid w:val="00BA3681"/>
    <w:rsid w:val="00BA4291"/>
    <w:rsid w:val="00BB1DAA"/>
    <w:rsid w:val="00BB45A0"/>
    <w:rsid w:val="00BC680E"/>
    <w:rsid w:val="00BD260B"/>
    <w:rsid w:val="00BD48C0"/>
    <w:rsid w:val="00BD6FF8"/>
    <w:rsid w:val="00BD77D0"/>
    <w:rsid w:val="00BE413E"/>
    <w:rsid w:val="00BE4D17"/>
    <w:rsid w:val="00BF0200"/>
    <w:rsid w:val="00BF0A9B"/>
    <w:rsid w:val="00C013BE"/>
    <w:rsid w:val="00C10BFB"/>
    <w:rsid w:val="00C122AA"/>
    <w:rsid w:val="00C22F71"/>
    <w:rsid w:val="00C25AC3"/>
    <w:rsid w:val="00C267FA"/>
    <w:rsid w:val="00C26FAC"/>
    <w:rsid w:val="00C4133B"/>
    <w:rsid w:val="00C45770"/>
    <w:rsid w:val="00C461F6"/>
    <w:rsid w:val="00C477BA"/>
    <w:rsid w:val="00C61B32"/>
    <w:rsid w:val="00C6321D"/>
    <w:rsid w:val="00C64362"/>
    <w:rsid w:val="00C728B7"/>
    <w:rsid w:val="00C76827"/>
    <w:rsid w:val="00C81311"/>
    <w:rsid w:val="00C827C0"/>
    <w:rsid w:val="00C831D6"/>
    <w:rsid w:val="00C83631"/>
    <w:rsid w:val="00C83C27"/>
    <w:rsid w:val="00C860A9"/>
    <w:rsid w:val="00C86B4D"/>
    <w:rsid w:val="00C90977"/>
    <w:rsid w:val="00C90DF2"/>
    <w:rsid w:val="00C92B3F"/>
    <w:rsid w:val="00C9733D"/>
    <w:rsid w:val="00CA08A1"/>
    <w:rsid w:val="00CA2724"/>
    <w:rsid w:val="00CA5554"/>
    <w:rsid w:val="00CB5581"/>
    <w:rsid w:val="00CC18FE"/>
    <w:rsid w:val="00CC1E51"/>
    <w:rsid w:val="00CC3633"/>
    <w:rsid w:val="00CC4B04"/>
    <w:rsid w:val="00CC7D7B"/>
    <w:rsid w:val="00CD34A7"/>
    <w:rsid w:val="00CD53DE"/>
    <w:rsid w:val="00CE1A78"/>
    <w:rsid w:val="00CE334E"/>
    <w:rsid w:val="00CE3426"/>
    <w:rsid w:val="00CE39CE"/>
    <w:rsid w:val="00CE4BE3"/>
    <w:rsid w:val="00CF1BBB"/>
    <w:rsid w:val="00CF36ED"/>
    <w:rsid w:val="00CF396F"/>
    <w:rsid w:val="00CF5CD7"/>
    <w:rsid w:val="00CF6623"/>
    <w:rsid w:val="00D004CD"/>
    <w:rsid w:val="00D02216"/>
    <w:rsid w:val="00D026EE"/>
    <w:rsid w:val="00D02C72"/>
    <w:rsid w:val="00D03C8D"/>
    <w:rsid w:val="00D03D29"/>
    <w:rsid w:val="00D13745"/>
    <w:rsid w:val="00D14109"/>
    <w:rsid w:val="00D201EA"/>
    <w:rsid w:val="00D210A6"/>
    <w:rsid w:val="00D3435A"/>
    <w:rsid w:val="00D40A68"/>
    <w:rsid w:val="00D415E3"/>
    <w:rsid w:val="00D42B12"/>
    <w:rsid w:val="00D43692"/>
    <w:rsid w:val="00D45B21"/>
    <w:rsid w:val="00D462E4"/>
    <w:rsid w:val="00D47A6E"/>
    <w:rsid w:val="00D50D97"/>
    <w:rsid w:val="00D517B7"/>
    <w:rsid w:val="00D55D9F"/>
    <w:rsid w:val="00D577AE"/>
    <w:rsid w:val="00D57E39"/>
    <w:rsid w:val="00D6276A"/>
    <w:rsid w:val="00D63310"/>
    <w:rsid w:val="00D64008"/>
    <w:rsid w:val="00D7113E"/>
    <w:rsid w:val="00D742D6"/>
    <w:rsid w:val="00D76D13"/>
    <w:rsid w:val="00D84A77"/>
    <w:rsid w:val="00D870AC"/>
    <w:rsid w:val="00D9105C"/>
    <w:rsid w:val="00D91300"/>
    <w:rsid w:val="00D96079"/>
    <w:rsid w:val="00D967AC"/>
    <w:rsid w:val="00DA0D48"/>
    <w:rsid w:val="00DA13C2"/>
    <w:rsid w:val="00DA27DC"/>
    <w:rsid w:val="00DA3E76"/>
    <w:rsid w:val="00DA554E"/>
    <w:rsid w:val="00DA5E7C"/>
    <w:rsid w:val="00DA7082"/>
    <w:rsid w:val="00DB51C4"/>
    <w:rsid w:val="00DC1EBA"/>
    <w:rsid w:val="00DC2EF5"/>
    <w:rsid w:val="00DC7030"/>
    <w:rsid w:val="00DD165F"/>
    <w:rsid w:val="00DD2570"/>
    <w:rsid w:val="00DD470A"/>
    <w:rsid w:val="00DD48F9"/>
    <w:rsid w:val="00DE1F26"/>
    <w:rsid w:val="00DE6643"/>
    <w:rsid w:val="00DF54DC"/>
    <w:rsid w:val="00DF79AC"/>
    <w:rsid w:val="00DF7E25"/>
    <w:rsid w:val="00E120EA"/>
    <w:rsid w:val="00E147C5"/>
    <w:rsid w:val="00E150AB"/>
    <w:rsid w:val="00E2334C"/>
    <w:rsid w:val="00E23746"/>
    <w:rsid w:val="00E24790"/>
    <w:rsid w:val="00E30108"/>
    <w:rsid w:val="00E44F2A"/>
    <w:rsid w:val="00E47FF7"/>
    <w:rsid w:val="00E50CFD"/>
    <w:rsid w:val="00E518DF"/>
    <w:rsid w:val="00E51F1B"/>
    <w:rsid w:val="00E52E75"/>
    <w:rsid w:val="00E55C16"/>
    <w:rsid w:val="00E56900"/>
    <w:rsid w:val="00E56E9D"/>
    <w:rsid w:val="00E64D08"/>
    <w:rsid w:val="00E713FA"/>
    <w:rsid w:val="00E75ADE"/>
    <w:rsid w:val="00E77D79"/>
    <w:rsid w:val="00E84DE5"/>
    <w:rsid w:val="00E86770"/>
    <w:rsid w:val="00E87110"/>
    <w:rsid w:val="00E902D7"/>
    <w:rsid w:val="00E90650"/>
    <w:rsid w:val="00E90EC4"/>
    <w:rsid w:val="00E91CB7"/>
    <w:rsid w:val="00E9534D"/>
    <w:rsid w:val="00E973CF"/>
    <w:rsid w:val="00EA38C0"/>
    <w:rsid w:val="00EA4E06"/>
    <w:rsid w:val="00EA5245"/>
    <w:rsid w:val="00EA5960"/>
    <w:rsid w:val="00EA726C"/>
    <w:rsid w:val="00EB1024"/>
    <w:rsid w:val="00EB17D5"/>
    <w:rsid w:val="00EB4C2B"/>
    <w:rsid w:val="00EB58D6"/>
    <w:rsid w:val="00EB65ED"/>
    <w:rsid w:val="00EC2D83"/>
    <w:rsid w:val="00EC697B"/>
    <w:rsid w:val="00EC7D5C"/>
    <w:rsid w:val="00ED11C8"/>
    <w:rsid w:val="00ED48C8"/>
    <w:rsid w:val="00ED5110"/>
    <w:rsid w:val="00EE37E3"/>
    <w:rsid w:val="00EE433A"/>
    <w:rsid w:val="00EE5E20"/>
    <w:rsid w:val="00EE62D7"/>
    <w:rsid w:val="00EE64FE"/>
    <w:rsid w:val="00EF0739"/>
    <w:rsid w:val="00EF27CA"/>
    <w:rsid w:val="00EF3008"/>
    <w:rsid w:val="00EF5710"/>
    <w:rsid w:val="00EF7839"/>
    <w:rsid w:val="00F01B67"/>
    <w:rsid w:val="00F0463F"/>
    <w:rsid w:val="00F17968"/>
    <w:rsid w:val="00F213D7"/>
    <w:rsid w:val="00F37882"/>
    <w:rsid w:val="00F40F1F"/>
    <w:rsid w:val="00F41C65"/>
    <w:rsid w:val="00F425C5"/>
    <w:rsid w:val="00F42622"/>
    <w:rsid w:val="00F42FBE"/>
    <w:rsid w:val="00F63520"/>
    <w:rsid w:val="00F63B19"/>
    <w:rsid w:val="00F65C54"/>
    <w:rsid w:val="00F738C2"/>
    <w:rsid w:val="00F74748"/>
    <w:rsid w:val="00F769F1"/>
    <w:rsid w:val="00F82370"/>
    <w:rsid w:val="00F83817"/>
    <w:rsid w:val="00F8473F"/>
    <w:rsid w:val="00F8538F"/>
    <w:rsid w:val="00F85C32"/>
    <w:rsid w:val="00F8787A"/>
    <w:rsid w:val="00F914E3"/>
    <w:rsid w:val="00FA04CA"/>
    <w:rsid w:val="00FA214B"/>
    <w:rsid w:val="00FA24F1"/>
    <w:rsid w:val="00FA2BA0"/>
    <w:rsid w:val="00FA2FE5"/>
    <w:rsid w:val="00FA5065"/>
    <w:rsid w:val="00FA59CF"/>
    <w:rsid w:val="00FB03B7"/>
    <w:rsid w:val="00FB0ABF"/>
    <w:rsid w:val="00FB5688"/>
    <w:rsid w:val="00FB72E2"/>
    <w:rsid w:val="00FC003D"/>
    <w:rsid w:val="00FC1BAF"/>
    <w:rsid w:val="00FC33D8"/>
    <w:rsid w:val="00FC670A"/>
    <w:rsid w:val="00FD3236"/>
    <w:rsid w:val="00FD6B25"/>
    <w:rsid w:val="00FD6EC9"/>
    <w:rsid w:val="00FE1E41"/>
    <w:rsid w:val="00FE4AD2"/>
    <w:rsid w:val="00FF16B1"/>
    <w:rsid w:val="00FF1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CE47"/>
  <w15:chartTrackingRefBased/>
  <w15:docId w15:val="{23CCE2E9-FBCA-490D-B0D2-995D15E2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746"/>
    <w:rPr>
      <w:color w:val="0000FF"/>
      <w:u w:val="single"/>
    </w:rPr>
  </w:style>
  <w:style w:type="character" w:styleId="Emphasis">
    <w:name w:val="Emphasis"/>
    <w:basedOn w:val="DefaultParagraphFont"/>
    <w:uiPriority w:val="20"/>
    <w:qFormat/>
    <w:rsid w:val="00E23746"/>
    <w:rPr>
      <w:i/>
      <w:iCs/>
    </w:rPr>
  </w:style>
  <w:style w:type="paragraph" w:styleId="ListParagraph">
    <w:name w:val="List Paragraph"/>
    <w:basedOn w:val="Normal"/>
    <w:uiPriority w:val="34"/>
    <w:qFormat/>
    <w:rsid w:val="00293CBA"/>
    <w:pPr>
      <w:ind w:left="720"/>
      <w:contextualSpacing/>
    </w:pPr>
  </w:style>
  <w:style w:type="paragraph" w:styleId="Header">
    <w:name w:val="header"/>
    <w:basedOn w:val="Normal"/>
    <w:link w:val="HeaderChar"/>
    <w:uiPriority w:val="99"/>
    <w:unhideWhenUsed/>
    <w:rsid w:val="00EA5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245"/>
  </w:style>
  <w:style w:type="paragraph" w:styleId="Footer">
    <w:name w:val="footer"/>
    <w:basedOn w:val="Normal"/>
    <w:link w:val="FooterChar"/>
    <w:uiPriority w:val="99"/>
    <w:unhideWhenUsed/>
    <w:rsid w:val="00EA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245"/>
  </w:style>
  <w:style w:type="paragraph" w:styleId="NoSpacing">
    <w:name w:val="No Spacing"/>
    <w:uiPriority w:val="1"/>
    <w:qFormat/>
    <w:rsid w:val="00D43692"/>
    <w:pPr>
      <w:spacing w:after="0" w:line="240" w:lineRule="auto"/>
    </w:pPr>
    <w:rPr>
      <w:rFonts w:ascii="Times New Roman" w:hAnsi="Times New Roman" w:cs="Times New Roman"/>
      <w:kern w:val="2"/>
      <w:sz w:val="24"/>
      <w:szCs w:val="24"/>
      <w14:ligatures w14:val="standardContextual"/>
    </w:rPr>
  </w:style>
  <w:style w:type="character" w:customStyle="1" w:styleId="costarpage">
    <w:name w:val="co_starpage"/>
    <w:basedOn w:val="DefaultParagraphFont"/>
    <w:rsid w:val="00BF0A9B"/>
  </w:style>
  <w:style w:type="character" w:styleId="CommentReference">
    <w:name w:val="annotation reference"/>
    <w:basedOn w:val="DefaultParagraphFont"/>
    <w:uiPriority w:val="99"/>
    <w:semiHidden/>
    <w:unhideWhenUsed/>
    <w:rsid w:val="00B32824"/>
    <w:rPr>
      <w:sz w:val="16"/>
      <w:szCs w:val="16"/>
    </w:rPr>
  </w:style>
  <w:style w:type="paragraph" w:styleId="CommentText">
    <w:name w:val="annotation text"/>
    <w:basedOn w:val="Normal"/>
    <w:link w:val="CommentTextChar"/>
    <w:uiPriority w:val="99"/>
    <w:unhideWhenUsed/>
    <w:rsid w:val="00B32824"/>
    <w:pPr>
      <w:spacing w:line="240" w:lineRule="auto"/>
    </w:pPr>
    <w:rPr>
      <w:sz w:val="20"/>
      <w:szCs w:val="20"/>
    </w:rPr>
  </w:style>
  <w:style w:type="character" w:customStyle="1" w:styleId="CommentTextChar">
    <w:name w:val="Comment Text Char"/>
    <w:basedOn w:val="DefaultParagraphFont"/>
    <w:link w:val="CommentText"/>
    <w:uiPriority w:val="99"/>
    <w:rsid w:val="00B32824"/>
    <w:rPr>
      <w:sz w:val="20"/>
      <w:szCs w:val="20"/>
    </w:rPr>
  </w:style>
  <w:style w:type="paragraph" w:styleId="CommentSubject">
    <w:name w:val="annotation subject"/>
    <w:basedOn w:val="CommentText"/>
    <w:next w:val="CommentText"/>
    <w:link w:val="CommentSubjectChar"/>
    <w:uiPriority w:val="99"/>
    <w:semiHidden/>
    <w:unhideWhenUsed/>
    <w:rsid w:val="00B32824"/>
    <w:rPr>
      <w:b/>
      <w:bCs/>
    </w:rPr>
  </w:style>
  <w:style w:type="character" w:customStyle="1" w:styleId="CommentSubjectChar">
    <w:name w:val="Comment Subject Char"/>
    <w:basedOn w:val="CommentTextChar"/>
    <w:link w:val="CommentSubject"/>
    <w:uiPriority w:val="99"/>
    <w:semiHidden/>
    <w:rsid w:val="00B32824"/>
    <w:rPr>
      <w:b/>
      <w:bCs/>
      <w:sz w:val="20"/>
      <w:szCs w:val="20"/>
    </w:rPr>
  </w:style>
  <w:style w:type="character" w:customStyle="1" w:styleId="cf01">
    <w:name w:val="cf01"/>
    <w:basedOn w:val="DefaultParagraphFont"/>
    <w:rsid w:val="00AF10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870376">
      <w:bodyDiv w:val="1"/>
      <w:marLeft w:val="0"/>
      <w:marRight w:val="0"/>
      <w:marTop w:val="0"/>
      <w:marBottom w:val="0"/>
      <w:divBdr>
        <w:top w:val="none" w:sz="0" w:space="0" w:color="auto"/>
        <w:left w:val="none" w:sz="0" w:space="0" w:color="auto"/>
        <w:bottom w:val="none" w:sz="0" w:space="0" w:color="auto"/>
        <w:right w:val="none" w:sz="0" w:space="0" w:color="auto"/>
      </w:divBdr>
      <w:divsChild>
        <w:div w:id="9525688">
          <w:marLeft w:val="0"/>
          <w:marRight w:val="0"/>
          <w:marTop w:val="0"/>
          <w:marBottom w:val="0"/>
          <w:divBdr>
            <w:top w:val="none" w:sz="0" w:space="0" w:color="3D3D3D"/>
            <w:left w:val="none" w:sz="0" w:space="0" w:color="3D3D3D"/>
            <w:bottom w:val="none" w:sz="0" w:space="0" w:color="3D3D3D"/>
            <w:right w:val="none" w:sz="0" w:space="0" w:color="3D3D3D"/>
          </w:divBdr>
          <w:divsChild>
            <w:div w:id="20379964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6104398">
      <w:bodyDiv w:val="1"/>
      <w:marLeft w:val="0"/>
      <w:marRight w:val="0"/>
      <w:marTop w:val="0"/>
      <w:marBottom w:val="0"/>
      <w:divBdr>
        <w:top w:val="none" w:sz="0" w:space="0" w:color="auto"/>
        <w:left w:val="none" w:sz="0" w:space="0" w:color="auto"/>
        <w:bottom w:val="none" w:sz="0" w:space="0" w:color="auto"/>
        <w:right w:val="none" w:sz="0" w:space="0" w:color="auto"/>
      </w:divBdr>
      <w:divsChild>
        <w:div w:id="1625691104">
          <w:marLeft w:val="0"/>
          <w:marRight w:val="0"/>
          <w:marTop w:val="0"/>
          <w:marBottom w:val="0"/>
          <w:divBdr>
            <w:top w:val="none" w:sz="0" w:space="0" w:color="3D3D3D"/>
            <w:left w:val="none" w:sz="0" w:space="0" w:color="3D3D3D"/>
            <w:bottom w:val="none" w:sz="0" w:space="0" w:color="3D3D3D"/>
            <w:right w:val="none" w:sz="0" w:space="0" w:color="3D3D3D"/>
          </w:divBdr>
          <w:divsChild>
            <w:div w:id="4595701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5781856">
      <w:bodyDiv w:val="1"/>
      <w:marLeft w:val="0"/>
      <w:marRight w:val="0"/>
      <w:marTop w:val="0"/>
      <w:marBottom w:val="0"/>
      <w:divBdr>
        <w:top w:val="none" w:sz="0" w:space="0" w:color="auto"/>
        <w:left w:val="none" w:sz="0" w:space="0" w:color="auto"/>
        <w:bottom w:val="none" w:sz="0" w:space="0" w:color="auto"/>
        <w:right w:val="none" w:sz="0" w:space="0" w:color="auto"/>
      </w:divBdr>
      <w:divsChild>
        <w:div w:id="401416398">
          <w:marLeft w:val="0"/>
          <w:marRight w:val="0"/>
          <w:marTop w:val="0"/>
          <w:marBottom w:val="0"/>
          <w:divBdr>
            <w:top w:val="none" w:sz="0" w:space="0" w:color="3D3D3D"/>
            <w:left w:val="none" w:sz="0" w:space="0" w:color="3D3D3D"/>
            <w:bottom w:val="none" w:sz="0" w:space="0" w:color="3D3D3D"/>
            <w:right w:val="none" w:sz="0" w:space="0" w:color="3D3D3D"/>
          </w:divBdr>
          <w:divsChild>
            <w:div w:id="17678417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041479">
      <w:bodyDiv w:val="1"/>
      <w:marLeft w:val="0"/>
      <w:marRight w:val="0"/>
      <w:marTop w:val="0"/>
      <w:marBottom w:val="0"/>
      <w:divBdr>
        <w:top w:val="none" w:sz="0" w:space="0" w:color="auto"/>
        <w:left w:val="none" w:sz="0" w:space="0" w:color="auto"/>
        <w:bottom w:val="none" w:sz="0" w:space="0" w:color="auto"/>
        <w:right w:val="none" w:sz="0" w:space="0" w:color="auto"/>
      </w:divBdr>
      <w:divsChild>
        <w:div w:id="2125072795">
          <w:marLeft w:val="0"/>
          <w:marRight w:val="0"/>
          <w:marTop w:val="0"/>
          <w:marBottom w:val="0"/>
          <w:divBdr>
            <w:top w:val="none" w:sz="0" w:space="0" w:color="3D3D3D"/>
            <w:left w:val="none" w:sz="0" w:space="0" w:color="3D3D3D"/>
            <w:bottom w:val="none" w:sz="0" w:space="0" w:color="3D3D3D"/>
            <w:right w:val="none" w:sz="0" w:space="0" w:color="3D3D3D"/>
          </w:divBdr>
          <w:divsChild>
            <w:div w:id="1054810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1119687">
      <w:bodyDiv w:val="1"/>
      <w:marLeft w:val="0"/>
      <w:marRight w:val="0"/>
      <w:marTop w:val="0"/>
      <w:marBottom w:val="0"/>
      <w:divBdr>
        <w:top w:val="none" w:sz="0" w:space="0" w:color="auto"/>
        <w:left w:val="none" w:sz="0" w:space="0" w:color="auto"/>
        <w:bottom w:val="none" w:sz="0" w:space="0" w:color="auto"/>
        <w:right w:val="none" w:sz="0" w:space="0" w:color="auto"/>
      </w:divBdr>
      <w:divsChild>
        <w:div w:id="1491747779">
          <w:marLeft w:val="0"/>
          <w:marRight w:val="0"/>
          <w:marTop w:val="0"/>
          <w:marBottom w:val="0"/>
          <w:divBdr>
            <w:top w:val="none" w:sz="0" w:space="0" w:color="3D3D3D"/>
            <w:left w:val="none" w:sz="0" w:space="0" w:color="3D3D3D"/>
            <w:bottom w:val="none" w:sz="0" w:space="0" w:color="3D3D3D"/>
            <w:right w:val="none" w:sz="0" w:space="0" w:color="3D3D3D"/>
          </w:divBdr>
          <w:divsChild>
            <w:div w:id="19140078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3305192">
      <w:bodyDiv w:val="1"/>
      <w:marLeft w:val="0"/>
      <w:marRight w:val="0"/>
      <w:marTop w:val="0"/>
      <w:marBottom w:val="0"/>
      <w:divBdr>
        <w:top w:val="none" w:sz="0" w:space="0" w:color="auto"/>
        <w:left w:val="none" w:sz="0" w:space="0" w:color="auto"/>
        <w:bottom w:val="none" w:sz="0" w:space="0" w:color="auto"/>
        <w:right w:val="none" w:sz="0" w:space="0" w:color="auto"/>
      </w:divBdr>
      <w:divsChild>
        <w:div w:id="1207838053">
          <w:marLeft w:val="0"/>
          <w:marRight w:val="0"/>
          <w:marTop w:val="0"/>
          <w:marBottom w:val="0"/>
          <w:divBdr>
            <w:top w:val="none" w:sz="0" w:space="0" w:color="3D3D3D"/>
            <w:left w:val="none" w:sz="0" w:space="0" w:color="3D3D3D"/>
            <w:bottom w:val="none" w:sz="0" w:space="0" w:color="3D3D3D"/>
            <w:right w:val="none" w:sz="0" w:space="0" w:color="3D3D3D"/>
          </w:divBdr>
          <w:divsChild>
            <w:div w:id="7258394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1842563">
      <w:bodyDiv w:val="1"/>
      <w:marLeft w:val="0"/>
      <w:marRight w:val="0"/>
      <w:marTop w:val="0"/>
      <w:marBottom w:val="0"/>
      <w:divBdr>
        <w:top w:val="none" w:sz="0" w:space="0" w:color="auto"/>
        <w:left w:val="none" w:sz="0" w:space="0" w:color="auto"/>
        <w:bottom w:val="none" w:sz="0" w:space="0" w:color="auto"/>
        <w:right w:val="none" w:sz="0" w:space="0" w:color="auto"/>
      </w:divBdr>
      <w:divsChild>
        <w:div w:id="1793550551">
          <w:marLeft w:val="0"/>
          <w:marRight w:val="0"/>
          <w:marTop w:val="0"/>
          <w:marBottom w:val="0"/>
          <w:divBdr>
            <w:top w:val="none" w:sz="0" w:space="0" w:color="3D3D3D"/>
            <w:left w:val="none" w:sz="0" w:space="0" w:color="3D3D3D"/>
            <w:bottom w:val="none" w:sz="0" w:space="0" w:color="3D3D3D"/>
            <w:right w:val="none" w:sz="0" w:space="0" w:color="3D3D3D"/>
          </w:divBdr>
        </w:div>
      </w:divsChild>
    </w:div>
    <w:div w:id="640772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9962">
          <w:marLeft w:val="0"/>
          <w:marRight w:val="0"/>
          <w:marTop w:val="0"/>
          <w:marBottom w:val="0"/>
          <w:divBdr>
            <w:top w:val="none" w:sz="0" w:space="0" w:color="3D3D3D"/>
            <w:left w:val="none" w:sz="0" w:space="0" w:color="3D3D3D"/>
            <w:bottom w:val="none" w:sz="0" w:space="0" w:color="3D3D3D"/>
            <w:right w:val="none" w:sz="0" w:space="0" w:color="3D3D3D"/>
          </w:divBdr>
        </w:div>
      </w:divsChild>
    </w:div>
    <w:div w:id="699628997">
      <w:bodyDiv w:val="1"/>
      <w:marLeft w:val="0"/>
      <w:marRight w:val="0"/>
      <w:marTop w:val="0"/>
      <w:marBottom w:val="0"/>
      <w:divBdr>
        <w:top w:val="none" w:sz="0" w:space="0" w:color="auto"/>
        <w:left w:val="none" w:sz="0" w:space="0" w:color="auto"/>
        <w:bottom w:val="none" w:sz="0" w:space="0" w:color="auto"/>
        <w:right w:val="none" w:sz="0" w:space="0" w:color="auto"/>
      </w:divBdr>
    </w:div>
    <w:div w:id="744885468">
      <w:bodyDiv w:val="1"/>
      <w:marLeft w:val="0"/>
      <w:marRight w:val="0"/>
      <w:marTop w:val="0"/>
      <w:marBottom w:val="0"/>
      <w:divBdr>
        <w:top w:val="none" w:sz="0" w:space="0" w:color="auto"/>
        <w:left w:val="none" w:sz="0" w:space="0" w:color="auto"/>
        <w:bottom w:val="none" w:sz="0" w:space="0" w:color="auto"/>
        <w:right w:val="none" w:sz="0" w:space="0" w:color="auto"/>
      </w:divBdr>
      <w:divsChild>
        <w:div w:id="473839901">
          <w:marLeft w:val="0"/>
          <w:marRight w:val="0"/>
          <w:marTop w:val="0"/>
          <w:marBottom w:val="0"/>
          <w:divBdr>
            <w:top w:val="none" w:sz="0" w:space="0" w:color="3D3D3D"/>
            <w:left w:val="none" w:sz="0" w:space="0" w:color="3D3D3D"/>
            <w:bottom w:val="none" w:sz="0" w:space="0" w:color="3D3D3D"/>
            <w:right w:val="none" w:sz="0" w:space="0" w:color="3D3D3D"/>
          </w:divBdr>
          <w:divsChild>
            <w:div w:id="1738116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8530353">
      <w:bodyDiv w:val="1"/>
      <w:marLeft w:val="0"/>
      <w:marRight w:val="0"/>
      <w:marTop w:val="0"/>
      <w:marBottom w:val="0"/>
      <w:divBdr>
        <w:top w:val="none" w:sz="0" w:space="0" w:color="auto"/>
        <w:left w:val="none" w:sz="0" w:space="0" w:color="auto"/>
        <w:bottom w:val="none" w:sz="0" w:space="0" w:color="auto"/>
        <w:right w:val="none" w:sz="0" w:space="0" w:color="auto"/>
      </w:divBdr>
      <w:divsChild>
        <w:div w:id="1377461740">
          <w:marLeft w:val="0"/>
          <w:marRight w:val="0"/>
          <w:marTop w:val="0"/>
          <w:marBottom w:val="0"/>
          <w:divBdr>
            <w:top w:val="none" w:sz="0" w:space="0" w:color="3D3D3D"/>
            <w:left w:val="none" w:sz="0" w:space="0" w:color="3D3D3D"/>
            <w:bottom w:val="none" w:sz="0" w:space="0" w:color="3D3D3D"/>
            <w:right w:val="none" w:sz="0" w:space="0" w:color="3D3D3D"/>
          </w:divBdr>
          <w:divsChild>
            <w:div w:id="8042001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164031">
      <w:bodyDiv w:val="1"/>
      <w:marLeft w:val="0"/>
      <w:marRight w:val="0"/>
      <w:marTop w:val="0"/>
      <w:marBottom w:val="0"/>
      <w:divBdr>
        <w:top w:val="none" w:sz="0" w:space="0" w:color="auto"/>
        <w:left w:val="none" w:sz="0" w:space="0" w:color="auto"/>
        <w:bottom w:val="none" w:sz="0" w:space="0" w:color="auto"/>
        <w:right w:val="none" w:sz="0" w:space="0" w:color="auto"/>
      </w:divBdr>
      <w:divsChild>
        <w:div w:id="473258058">
          <w:marLeft w:val="0"/>
          <w:marRight w:val="0"/>
          <w:marTop w:val="0"/>
          <w:marBottom w:val="0"/>
          <w:divBdr>
            <w:top w:val="none" w:sz="0" w:space="0" w:color="3D3D3D"/>
            <w:left w:val="none" w:sz="0" w:space="0" w:color="3D3D3D"/>
            <w:bottom w:val="none" w:sz="0" w:space="0" w:color="3D3D3D"/>
            <w:right w:val="none" w:sz="0" w:space="0" w:color="3D3D3D"/>
          </w:divBdr>
        </w:div>
      </w:divsChild>
    </w:div>
    <w:div w:id="883835832">
      <w:bodyDiv w:val="1"/>
      <w:marLeft w:val="0"/>
      <w:marRight w:val="0"/>
      <w:marTop w:val="0"/>
      <w:marBottom w:val="0"/>
      <w:divBdr>
        <w:top w:val="none" w:sz="0" w:space="0" w:color="auto"/>
        <w:left w:val="none" w:sz="0" w:space="0" w:color="auto"/>
        <w:bottom w:val="none" w:sz="0" w:space="0" w:color="auto"/>
        <w:right w:val="none" w:sz="0" w:space="0" w:color="auto"/>
      </w:divBdr>
      <w:divsChild>
        <w:div w:id="111631925">
          <w:marLeft w:val="0"/>
          <w:marRight w:val="0"/>
          <w:marTop w:val="0"/>
          <w:marBottom w:val="0"/>
          <w:divBdr>
            <w:top w:val="none" w:sz="0" w:space="0" w:color="3D3D3D"/>
            <w:left w:val="none" w:sz="0" w:space="0" w:color="3D3D3D"/>
            <w:bottom w:val="none" w:sz="0" w:space="0" w:color="3D3D3D"/>
            <w:right w:val="none" w:sz="0" w:space="0" w:color="3D3D3D"/>
          </w:divBdr>
          <w:divsChild>
            <w:div w:id="13921219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1322632">
      <w:bodyDiv w:val="1"/>
      <w:marLeft w:val="0"/>
      <w:marRight w:val="0"/>
      <w:marTop w:val="0"/>
      <w:marBottom w:val="0"/>
      <w:divBdr>
        <w:top w:val="none" w:sz="0" w:space="0" w:color="auto"/>
        <w:left w:val="none" w:sz="0" w:space="0" w:color="auto"/>
        <w:bottom w:val="none" w:sz="0" w:space="0" w:color="auto"/>
        <w:right w:val="none" w:sz="0" w:space="0" w:color="auto"/>
      </w:divBdr>
      <w:divsChild>
        <w:div w:id="278026908">
          <w:marLeft w:val="0"/>
          <w:marRight w:val="0"/>
          <w:marTop w:val="0"/>
          <w:marBottom w:val="0"/>
          <w:divBdr>
            <w:top w:val="none" w:sz="0" w:space="0" w:color="3D3D3D"/>
            <w:left w:val="none" w:sz="0" w:space="0" w:color="3D3D3D"/>
            <w:bottom w:val="none" w:sz="0" w:space="0" w:color="3D3D3D"/>
            <w:right w:val="none" w:sz="0" w:space="0" w:color="3D3D3D"/>
          </w:divBdr>
        </w:div>
      </w:divsChild>
    </w:div>
    <w:div w:id="1020014395">
      <w:bodyDiv w:val="1"/>
      <w:marLeft w:val="0"/>
      <w:marRight w:val="0"/>
      <w:marTop w:val="0"/>
      <w:marBottom w:val="0"/>
      <w:divBdr>
        <w:top w:val="none" w:sz="0" w:space="0" w:color="auto"/>
        <w:left w:val="none" w:sz="0" w:space="0" w:color="auto"/>
        <w:bottom w:val="none" w:sz="0" w:space="0" w:color="auto"/>
        <w:right w:val="none" w:sz="0" w:space="0" w:color="auto"/>
      </w:divBdr>
    </w:div>
    <w:div w:id="1032801212">
      <w:bodyDiv w:val="1"/>
      <w:marLeft w:val="0"/>
      <w:marRight w:val="0"/>
      <w:marTop w:val="0"/>
      <w:marBottom w:val="0"/>
      <w:divBdr>
        <w:top w:val="none" w:sz="0" w:space="0" w:color="auto"/>
        <w:left w:val="none" w:sz="0" w:space="0" w:color="auto"/>
        <w:bottom w:val="none" w:sz="0" w:space="0" w:color="auto"/>
        <w:right w:val="none" w:sz="0" w:space="0" w:color="auto"/>
      </w:divBdr>
      <w:divsChild>
        <w:div w:id="638537261">
          <w:marLeft w:val="0"/>
          <w:marRight w:val="0"/>
          <w:marTop w:val="0"/>
          <w:marBottom w:val="0"/>
          <w:divBdr>
            <w:top w:val="none" w:sz="0" w:space="0" w:color="3D3D3D"/>
            <w:left w:val="none" w:sz="0" w:space="0" w:color="3D3D3D"/>
            <w:bottom w:val="none" w:sz="0" w:space="0" w:color="3D3D3D"/>
            <w:right w:val="none" w:sz="0" w:space="0" w:color="3D3D3D"/>
          </w:divBdr>
          <w:divsChild>
            <w:div w:id="17445685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1461452">
      <w:bodyDiv w:val="1"/>
      <w:marLeft w:val="0"/>
      <w:marRight w:val="0"/>
      <w:marTop w:val="0"/>
      <w:marBottom w:val="0"/>
      <w:divBdr>
        <w:top w:val="none" w:sz="0" w:space="0" w:color="auto"/>
        <w:left w:val="none" w:sz="0" w:space="0" w:color="auto"/>
        <w:bottom w:val="none" w:sz="0" w:space="0" w:color="auto"/>
        <w:right w:val="none" w:sz="0" w:space="0" w:color="auto"/>
      </w:divBdr>
      <w:divsChild>
        <w:div w:id="359285953">
          <w:marLeft w:val="0"/>
          <w:marRight w:val="0"/>
          <w:marTop w:val="0"/>
          <w:marBottom w:val="0"/>
          <w:divBdr>
            <w:top w:val="none" w:sz="0" w:space="0" w:color="3D3D3D"/>
            <w:left w:val="none" w:sz="0" w:space="0" w:color="3D3D3D"/>
            <w:bottom w:val="none" w:sz="0" w:space="0" w:color="3D3D3D"/>
            <w:right w:val="none" w:sz="0" w:space="0" w:color="3D3D3D"/>
          </w:divBdr>
          <w:divsChild>
            <w:div w:id="755131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0239505">
      <w:bodyDiv w:val="1"/>
      <w:marLeft w:val="0"/>
      <w:marRight w:val="0"/>
      <w:marTop w:val="0"/>
      <w:marBottom w:val="0"/>
      <w:divBdr>
        <w:top w:val="none" w:sz="0" w:space="0" w:color="auto"/>
        <w:left w:val="none" w:sz="0" w:space="0" w:color="auto"/>
        <w:bottom w:val="none" w:sz="0" w:space="0" w:color="auto"/>
        <w:right w:val="none" w:sz="0" w:space="0" w:color="auto"/>
      </w:divBdr>
      <w:divsChild>
        <w:div w:id="2047370122">
          <w:marLeft w:val="0"/>
          <w:marRight w:val="0"/>
          <w:marTop w:val="0"/>
          <w:marBottom w:val="0"/>
          <w:divBdr>
            <w:top w:val="none" w:sz="0" w:space="0" w:color="3D3D3D"/>
            <w:left w:val="none" w:sz="0" w:space="0" w:color="3D3D3D"/>
            <w:bottom w:val="none" w:sz="0" w:space="0" w:color="3D3D3D"/>
            <w:right w:val="none" w:sz="0" w:space="0" w:color="3D3D3D"/>
          </w:divBdr>
          <w:divsChild>
            <w:div w:id="1345475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6566540">
      <w:bodyDiv w:val="1"/>
      <w:marLeft w:val="0"/>
      <w:marRight w:val="0"/>
      <w:marTop w:val="0"/>
      <w:marBottom w:val="0"/>
      <w:divBdr>
        <w:top w:val="none" w:sz="0" w:space="0" w:color="auto"/>
        <w:left w:val="none" w:sz="0" w:space="0" w:color="auto"/>
        <w:bottom w:val="none" w:sz="0" w:space="0" w:color="auto"/>
        <w:right w:val="none" w:sz="0" w:space="0" w:color="auto"/>
      </w:divBdr>
      <w:divsChild>
        <w:div w:id="1856797880">
          <w:marLeft w:val="0"/>
          <w:marRight w:val="0"/>
          <w:marTop w:val="0"/>
          <w:marBottom w:val="0"/>
          <w:divBdr>
            <w:top w:val="none" w:sz="0" w:space="0" w:color="3D3D3D"/>
            <w:left w:val="none" w:sz="0" w:space="0" w:color="3D3D3D"/>
            <w:bottom w:val="none" w:sz="0" w:space="0" w:color="3D3D3D"/>
            <w:right w:val="none" w:sz="0" w:space="0" w:color="3D3D3D"/>
          </w:divBdr>
          <w:divsChild>
            <w:div w:id="3167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6956466">
      <w:bodyDiv w:val="1"/>
      <w:marLeft w:val="0"/>
      <w:marRight w:val="0"/>
      <w:marTop w:val="0"/>
      <w:marBottom w:val="0"/>
      <w:divBdr>
        <w:top w:val="none" w:sz="0" w:space="0" w:color="auto"/>
        <w:left w:val="none" w:sz="0" w:space="0" w:color="auto"/>
        <w:bottom w:val="none" w:sz="0" w:space="0" w:color="auto"/>
        <w:right w:val="none" w:sz="0" w:space="0" w:color="auto"/>
      </w:divBdr>
      <w:divsChild>
        <w:div w:id="1910187940">
          <w:marLeft w:val="0"/>
          <w:marRight w:val="0"/>
          <w:marTop w:val="0"/>
          <w:marBottom w:val="0"/>
          <w:divBdr>
            <w:top w:val="none" w:sz="0" w:space="0" w:color="3D3D3D"/>
            <w:left w:val="none" w:sz="0" w:space="0" w:color="3D3D3D"/>
            <w:bottom w:val="none" w:sz="0" w:space="0" w:color="3D3D3D"/>
            <w:right w:val="none" w:sz="0" w:space="0" w:color="3D3D3D"/>
          </w:divBdr>
          <w:divsChild>
            <w:div w:id="12436782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890199">
      <w:bodyDiv w:val="1"/>
      <w:marLeft w:val="0"/>
      <w:marRight w:val="0"/>
      <w:marTop w:val="0"/>
      <w:marBottom w:val="0"/>
      <w:divBdr>
        <w:top w:val="none" w:sz="0" w:space="0" w:color="auto"/>
        <w:left w:val="none" w:sz="0" w:space="0" w:color="auto"/>
        <w:bottom w:val="none" w:sz="0" w:space="0" w:color="auto"/>
        <w:right w:val="none" w:sz="0" w:space="0" w:color="auto"/>
      </w:divBdr>
      <w:divsChild>
        <w:div w:id="2141144979">
          <w:marLeft w:val="0"/>
          <w:marRight w:val="0"/>
          <w:marTop w:val="0"/>
          <w:marBottom w:val="0"/>
          <w:divBdr>
            <w:top w:val="none" w:sz="0" w:space="0" w:color="3D3D3D"/>
            <w:left w:val="none" w:sz="0" w:space="0" w:color="3D3D3D"/>
            <w:bottom w:val="none" w:sz="0" w:space="0" w:color="3D3D3D"/>
            <w:right w:val="none" w:sz="0" w:space="0" w:color="3D3D3D"/>
          </w:divBdr>
          <w:divsChild>
            <w:div w:id="14065627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4004855">
      <w:bodyDiv w:val="1"/>
      <w:marLeft w:val="0"/>
      <w:marRight w:val="0"/>
      <w:marTop w:val="0"/>
      <w:marBottom w:val="0"/>
      <w:divBdr>
        <w:top w:val="none" w:sz="0" w:space="0" w:color="auto"/>
        <w:left w:val="none" w:sz="0" w:space="0" w:color="auto"/>
        <w:bottom w:val="none" w:sz="0" w:space="0" w:color="auto"/>
        <w:right w:val="none" w:sz="0" w:space="0" w:color="auto"/>
      </w:divBdr>
    </w:div>
    <w:div w:id="1992440479">
      <w:bodyDiv w:val="1"/>
      <w:marLeft w:val="0"/>
      <w:marRight w:val="0"/>
      <w:marTop w:val="0"/>
      <w:marBottom w:val="0"/>
      <w:divBdr>
        <w:top w:val="none" w:sz="0" w:space="0" w:color="auto"/>
        <w:left w:val="none" w:sz="0" w:space="0" w:color="auto"/>
        <w:bottom w:val="none" w:sz="0" w:space="0" w:color="auto"/>
        <w:right w:val="none" w:sz="0" w:space="0" w:color="auto"/>
      </w:divBdr>
      <w:divsChild>
        <w:div w:id="742488803">
          <w:marLeft w:val="0"/>
          <w:marRight w:val="0"/>
          <w:marTop w:val="0"/>
          <w:marBottom w:val="0"/>
          <w:divBdr>
            <w:top w:val="none" w:sz="0" w:space="0" w:color="3D3D3D"/>
            <w:left w:val="none" w:sz="0" w:space="0" w:color="3D3D3D"/>
            <w:bottom w:val="none" w:sz="0" w:space="0" w:color="3D3D3D"/>
            <w:right w:val="none" w:sz="0" w:space="0" w:color="3D3D3D"/>
          </w:divBdr>
        </w:div>
      </w:divsChild>
    </w:div>
    <w:div w:id="2093117594">
      <w:bodyDiv w:val="1"/>
      <w:marLeft w:val="0"/>
      <w:marRight w:val="0"/>
      <w:marTop w:val="0"/>
      <w:marBottom w:val="0"/>
      <w:divBdr>
        <w:top w:val="none" w:sz="0" w:space="0" w:color="auto"/>
        <w:left w:val="none" w:sz="0" w:space="0" w:color="auto"/>
        <w:bottom w:val="none" w:sz="0" w:space="0" w:color="auto"/>
        <w:right w:val="none" w:sz="0" w:space="0" w:color="auto"/>
      </w:divBdr>
      <w:divsChild>
        <w:div w:id="820580033">
          <w:marLeft w:val="0"/>
          <w:marRight w:val="0"/>
          <w:marTop w:val="0"/>
          <w:marBottom w:val="0"/>
          <w:divBdr>
            <w:top w:val="none" w:sz="0" w:space="0" w:color="3D3D3D"/>
            <w:left w:val="none" w:sz="0" w:space="0" w:color="3D3D3D"/>
            <w:bottom w:val="none" w:sz="0" w:space="0" w:color="3D3D3D"/>
            <w:right w:val="none" w:sz="0" w:space="0" w:color="3D3D3D"/>
          </w:divBdr>
          <w:divsChild>
            <w:div w:id="3512976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059&amp;cite=NYCPR4540&amp;originatingDoc=NCC1053C0987411D8819EEA39B23BA0F7&amp;refType=LQ&amp;originationContext=document&amp;transitionType=DocumentItem&amp;ppcid=094274638e2241168c3eb0ead6c9bc2c&amp;contextData=(sc.DocLi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3896-FDB8-41DD-BDCA-7BC40CC9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7</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Links>
    <vt:vector size="6" baseType="variant">
      <vt:variant>
        <vt:i4>6815868</vt:i4>
      </vt:variant>
      <vt:variant>
        <vt:i4>0</vt:i4>
      </vt:variant>
      <vt:variant>
        <vt:i4>0</vt:i4>
      </vt:variant>
      <vt:variant>
        <vt:i4>5</vt:i4>
      </vt:variant>
      <vt:variant>
        <vt:lpwstr>https://1.next.westlaw.com/Link/Document/FullText?findType=L&amp;pubNum=1000059&amp;cite=NYCPR4540&amp;originatingDoc=NCC1053C0987411D8819EEA39B23BA0F7&amp;refType=LQ&amp;originationContext=document&amp;transitionType=DocumentItem&amp;ppcid=094274638e2241168c3eb0ead6c9bc2c&amp;contextData=(sc.Doc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Hutter, Michael</dc:creator>
  <cp:keywords/>
  <dc:description/>
  <cp:lastModifiedBy>Bill Donnino</cp:lastModifiedBy>
  <cp:revision>143</cp:revision>
  <cp:lastPrinted>2024-08-12T17:33:00Z</cp:lastPrinted>
  <dcterms:created xsi:type="dcterms:W3CDTF">2024-07-15T18:41:00Z</dcterms:created>
  <dcterms:modified xsi:type="dcterms:W3CDTF">2024-09-20T18:30:00Z</dcterms:modified>
</cp:coreProperties>
</file>