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4C4A6" w14:textId="7664B218" w:rsidR="000B329F" w:rsidRPr="00F635F8" w:rsidRDefault="000B329F" w:rsidP="00934BD3">
      <w:pPr>
        <w:spacing w:before="0" w:line="240" w:lineRule="auto"/>
        <w:rPr>
          <w:b/>
          <w:bCs/>
          <w:sz w:val="28"/>
          <w:szCs w:val="28"/>
        </w:rPr>
      </w:pPr>
      <w:r w:rsidRPr="00F635F8">
        <w:rPr>
          <w:b/>
          <w:bCs/>
          <w:sz w:val="28"/>
          <w:szCs w:val="28"/>
        </w:rPr>
        <w:t>3.</w:t>
      </w:r>
      <w:r w:rsidR="00F15C76" w:rsidRPr="00F635F8">
        <w:rPr>
          <w:b/>
          <w:bCs/>
          <w:sz w:val="28"/>
          <w:szCs w:val="28"/>
        </w:rPr>
        <w:t>21</w:t>
      </w:r>
      <w:r w:rsidRPr="00F635F8">
        <w:rPr>
          <w:b/>
          <w:bCs/>
          <w:sz w:val="28"/>
          <w:szCs w:val="28"/>
        </w:rPr>
        <w:t xml:space="preserve"> Lack of record </w:t>
      </w:r>
      <w:r w:rsidR="00CA2A87" w:rsidRPr="00F635F8">
        <w:rPr>
          <w:b/>
          <w:bCs/>
          <w:sz w:val="28"/>
          <w:szCs w:val="28"/>
        </w:rPr>
        <w:t>(</w:t>
      </w:r>
      <w:r w:rsidRPr="00F635F8">
        <w:rPr>
          <w:b/>
          <w:bCs/>
          <w:sz w:val="28"/>
          <w:szCs w:val="28"/>
        </w:rPr>
        <w:t>CPLR 4521</w:t>
      </w:r>
      <w:r w:rsidR="00CA2A87" w:rsidRPr="00F635F8">
        <w:rPr>
          <w:b/>
          <w:bCs/>
          <w:sz w:val="28"/>
          <w:szCs w:val="28"/>
        </w:rPr>
        <w:t>)</w:t>
      </w:r>
    </w:p>
    <w:p w14:paraId="10113523" w14:textId="77777777" w:rsidR="00934BD3" w:rsidRPr="00F635F8" w:rsidRDefault="00934BD3" w:rsidP="00934BD3">
      <w:pPr>
        <w:spacing w:before="0" w:line="240" w:lineRule="auto"/>
        <w:rPr>
          <w:b/>
          <w:bCs/>
          <w:sz w:val="28"/>
          <w:szCs w:val="28"/>
        </w:rPr>
      </w:pPr>
    </w:p>
    <w:p w14:paraId="19EA58B1" w14:textId="0A88375F" w:rsidR="000B329F" w:rsidRPr="00F635F8" w:rsidRDefault="000B329F" w:rsidP="00934BD3">
      <w:pPr>
        <w:spacing w:before="0" w:line="240" w:lineRule="auto"/>
        <w:ind w:left="720" w:right="720"/>
        <w:jc w:val="both"/>
        <w:rPr>
          <w:b/>
          <w:bCs/>
          <w:sz w:val="28"/>
          <w:szCs w:val="28"/>
        </w:rPr>
      </w:pPr>
      <w:r w:rsidRPr="00F635F8">
        <w:rPr>
          <w:b/>
          <w:bCs/>
          <w:sz w:val="28"/>
          <w:szCs w:val="28"/>
        </w:rPr>
        <w:t>A statement signed by an officer or a deputy of an officer having legal custody of specified official records of the United States or of any state, territory or jurisdiction of the United States, or of any court thereof, or kept in any public office thereof, that he</w:t>
      </w:r>
      <w:r w:rsidR="0099562D">
        <w:rPr>
          <w:b/>
          <w:bCs/>
          <w:sz w:val="28"/>
          <w:szCs w:val="28"/>
        </w:rPr>
        <w:t xml:space="preserve"> [or she]</w:t>
      </w:r>
      <w:r w:rsidR="00815992">
        <w:rPr>
          <w:b/>
          <w:bCs/>
          <w:sz w:val="28"/>
          <w:szCs w:val="28"/>
        </w:rPr>
        <w:t xml:space="preserve"> h</w:t>
      </w:r>
      <w:r w:rsidRPr="00F635F8">
        <w:rPr>
          <w:b/>
          <w:bCs/>
          <w:sz w:val="28"/>
          <w:szCs w:val="28"/>
        </w:rPr>
        <w:t xml:space="preserve">as made diligent search of the records and has found no record or entry of a specified nature, is prima facie evidence that the records contain no such record or entry, provided that the statement is accompanied by a certificate that legal custody of the specified official records belongs to such person, which certificate shall be made by a person described in </w:t>
      </w:r>
      <w:r w:rsidR="00BC3653">
        <w:rPr>
          <w:b/>
          <w:bCs/>
          <w:sz w:val="28"/>
          <w:szCs w:val="28"/>
        </w:rPr>
        <w:t>[</w:t>
      </w:r>
      <w:r w:rsidRPr="00F635F8">
        <w:rPr>
          <w:b/>
          <w:bCs/>
          <w:sz w:val="28"/>
          <w:szCs w:val="28"/>
        </w:rPr>
        <w:t>CPLR</w:t>
      </w:r>
      <w:r w:rsidR="00BC3653">
        <w:rPr>
          <w:b/>
          <w:bCs/>
          <w:sz w:val="28"/>
          <w:szCs w:val="28"/>
        </w:rPr>
        <w:t>]</w:t>
      </w:r>
      <w:r w:rsidRPr="00F635F8">
        <w:rPr>
          <w:b/>
          <w:bCs/>
          <w:sz w:val="28"/>
          <w:szCs w:val="28"/>
        </w:rPr>
        <w:t xml:space="preserve"> 4540.</w:t>
      </w:r>
    </w:p>
    <w:p w14:paraId="629815FE" w14:textId="77777777" w:rsidR="00934BD3" w:rsidRPr="00F635F8" w:rsidRDefault="00934BD3" w:rsidP="00934BD3">
      <w:pPr>
        <w:spacing w:before="0" w:line="240" w:lineRule="auto"/>
        <w:ind w:right="720"/>
        <w:jc w:val="both"/>
        <w:rPr>
          <w:b/>
          <w:bCs/>
          <w:sz w:val="28"/>
          <w:szCs w:val="28"/>
        </w:rPr>
      </w:pPr>
    </w:p>
    <w:p w14:paraId="53553D3C" w14:textId="7F908F74" w:rsidR="000B329F" w:rsidRPr="00F635F8" w:rsidRDefault="000B329F" w:rsidP="00934BD3">
      <w:pPr>
        <w:spacing w:before="0" w:line="240" w:lineRule="auto"/>
        <w:jc w:val="center"/>
        <w:rPr>
          <w:b/>
          <w:bCs/>
        </w:rPr>
      </w:pPr>
      <w:r w:rsidRPr="00F635F8">
        <w:rPr>
          <w:b/>
          <w:bCs/>
        </w:rPr>
        <w:t>Note</w:t>
      </w:r>
    </w:p>
    <w:p w14:paraId="67DC61B4" w14:textId="77777777" w:rsidR="00934BD3" w:rsidRPr="00F635F8" w:rsidRDefault="00934BD3" w:rsidP="00934BD3">
      <w:pPr>
        <w:spacing w:before="0" w:line="240" w:lineRule="auto"/>
        <w:rPr>
          <w:b/>
          <w:bCs/>
        </w:rPr>
      </w:pPr>
    </w:p>
    <w:p w14:paraId="3DBE0BE3" w14:textId="6E37336C" w:rsidR="000943CF" w:rsidRPr="00F635F8" w:rsidRDefault="000B329F" w:rsidP="00934BD3">
      <w:pPr>
        <w:spacing w:before="0" w:line="240" w:lineRule="auto"/>
        <w:jc w:val="both"/>
      </w:pPr>
      <w:r w:rsidRPr="00F635F8">
        <w:rPr>
          <w:b/>
          <w:bCs/>
        </w:rPr>
        <w:tab/>
      </w:r>
      <w:r w:rsidRPr="00F635F8">
        <w:t>This rule restates CPLR 4521</w:t>
      </w:r>
      <w:r w:rsidR="005F10BF" w:rsidRPr="00F635F8">
        <w:t>,</w:t>
      </w:r>
      <w:r w:rsidRPr="00F635F8">
        <w:t xml:space="preserve"> which sets forth a hearsay exception for the admissibility</w:t>
      </w:r>
      <w:r w:rsidR="00EF1E58" w:rsidRPr="00F635F8">
        <w:t>, as prima facie evidence,</w:t>
      </w:r>
      <w:r w:rsidRPr="00F635F8">
        <w:t xml:space="preserve"> of a certificate of the legal custodian of government records that after a “diligent search” </w:t>
      </w:r>
      <w:r w:rsidR="00D87625" w:rsidRPr="00F635F8">
        <w:t>(</w:t>
      </w:r>
      <w:r w:rsidR="00475E32" w:rsidRPr="00F635F8">
        <w:rPr>
          <w:i/>
          <w:iCs/>
        </w:rPr>
        <w:t>see Briggs v Waldron</w:t>
      </w:r>
      <w:r w:rsidR="00475E32" w:rsidRPr="00F635F8">
        <w:t>, 83 NY</w:t>
      </w:r>
      <w:r w:rsidR="007C088F" w:rsidRPr="00F635F8">
        <w:t xml:space="preserve"> </w:t>
      </w:r>
      <w:r w:rsidR="00475E32" w:rsidRPr="00F635F8">
        <w:t>582</w:t>
      </w:r>
      <w:r w:rsidR="003D16CD" w:rsidRPr="00F635F8">
        <w:t>, 585</w:t>
      </w:r>
      <w:r w:rsidR="00475E32" w:rsidRPr="00F635F8">
        <w:t xml:space="preserve"> [1881]</w:t>
      </w:r>
      <w:r w:rsidR="00D87625" w:rsidRPr="00F635F8">
        <w:t>)</w:t>
      </w:r>
      <w:r w:rsidR="00475E32" w:rsidRPr="00F635F8">
        <w:t xml:space="preserve"> </w:t>
      </w:r>
      <w:r w:rsidR="00EF1E58" w:rsidRPr="00F635F8">
        <w:t>“</w:t>
      </w:r>
      <w:r w:rsidRPr="00F635F8">
        <w:t>no record or entry</w:t>
      </w:r>
      <w:r w:rsidR="00475E32" w:rsidRPr="00F635F8">
        <w:t>” of the item searched for</w:t>
      </w:r>
      <w:r w:rsidR="00C14C96" w:rsidRPr="00F635F8">
        <w:t xml:space="preserve"> was found</w:t>
      </w:r>
      <w:r w:rsidR="00D10EAB" w:rsidRPr="00F635F8">
        <w:t>.</w:t>
      </w:r>
    </w:p>
    <w:p w14:paraId="56BCB709" w14:textId="77777777" w:rsidR="00934BD3" w:rsidRPr="00F635F8" w:rsidRDefault="00934BD3" w:rsidP="00934BD3">
      <w:pPr>
        <w:spacing w:before="0" w:line="240" w:lineRule="auto"/>
        <w:jc w:val="both"/>
      </w:pPr>
    </w:p>
    <w:p w14:paraId="6BE5CB33" w14:textId="36D93C69" w:rsidR="006F1F79" w:rsidRPr="00F635F8" w:rsidRDefault="00934BD3" w:rsidP="00934BD3">
      <w:pPr>
        <w:tabs>
          <w:tab w:val="left" w:pos="720"/>
        </w:tabs>
        <w:spacing w:before="0" w:line="240" w:lineRule="auto"/>
        <w:jc w:val="both"/>
      </w:pPr>
      <w:r w:rsidRPr="00F635F8">
        <w:tab/>
      </w:r>
      <w:r w:rsidR="006804CA" w:rsidRPr="00F635F8">
        <w:t>More than a century ago, the Court of Appeals</w:t>
      </w:r>
      <w:r w:rsidR="00F80BE9" w:rsidRPr="00F635F8">
        <w:t xml:space="preserve"> in</w:t>
      </w:r>
      <w:r w:rsidR="006804CA" w:rsidRPr="00F635F8">
        <w:t xml:space="preserve"> </w:t>
      </w:r>
      <w:r w:rsidR="00F80BE9" w:rsidRPr="00F635F8">
        <w:rPr>
          <w:i/>
          <w:iCs/>
        </w:rPr>
        <w:t>Deshong v City of New York</w:t>
      </w:r>
      <w:r w:rsidR="00F80BE9" w:rsidRPr="00F635F8">
        <w:t xml:space="preserve"> </w:t>
      </w:r>
      <w:r w:rsidR="00AB28F2" w:rsidRPr="00F635F8">
        <w:t>(</w:t>
      </w:r>
      <w:r w:rsidR="00F80BE9" w:rsidRPr="00F635F8">
        <w:t>176 NY 475, 485 [1903]</w:t>
      </w:r>
      <w:r w:rsidR="00AB28F2" w:rsidRPr="00F635F8">
        <w:t>)</w:t>
      </w:r>
      <w:r w:rsidR="00F80BE9" w:rsidRPr="00F635F8">
        <w:t xml:space="preserve"> </w:t>
      </w:r>
      <w:r w:rsidR="006804CA" w:rsidRPr="00F635F8">
        <w:t xml:space="preserve">stated </w:t>
      </w:r>
      <w:r w:rsidR="00F80BE9" w:rsidRPr="00F635F8">
        <w:t>the rationale for the statute:</w:t>
      </w:r>
    </w:p>
    <w:p w14:paraId="0276A9D0" w14:textId="77777777" w:rsidR="00934BD3" w:rsidRPr="00F635F8" w:rsidRDefault="00934BD3" w:rsidP="00934BD3">
      <w:pPr>
        <w:tabs>
          <w:tab w:val="left" w:pos="720"/>
        </w:tabs>
        <w:spacing w:before="0" w:line="240" w:lineRule="auto"/>
        <w:jc w:val="both"/>
      </w:pPr>
    </w:p>
    <w:p w14:paraId="2253988A" w14:textId="44F05986" w:rsidR="00752C2D" w:rsidRPr="00F635F8" w:rsidRDefault="00752C2D" w:rsidP="00934BD3">
      <w:pPr>
        <w:spacing w:before="0" w:line="240" w:lineRule="auto"/>
        <w:ind w:left="720" w:right="720"/>
        <w:jc w:val="both"/>
      </w:pPr>
      <w:r w:rsidRPr="00F635F8">
        <w:t>“The law presumes that all officers intrusted with the custody of public files and records will perform their official duty by keeping the same safely in their offices, and if a paper is not found where, if in existence, it ought to be deposited or recorded, the presumption thereupon arises that no such document has ever been in existence, and until this presumption is rebutted it must stand as proof of such non</w:t>
      </w:r>
      <w:r w:rsidR="00F645FB" w:rsidRPr="00F635F8">
        <w:t>-</w:t>
      </w:r>
      <w:r w:rsidRPr="00F635F8">
        <w:t>existence</w:t>
      </w:r>
      <w:r w:rsidR="00F00117" w:rsidRPr="00F635F8">
        <w:t>.</w:t>
      </w:r>
      <w:r w:rsidRPr="00F635F8">
        <w:t>”</w:t>
      </w:r>
    </w:p>
    <w:p w14:paraId="1C1F5B4B" w14:textId="77777777" w:rsidR="00934BD3" w:rsidRPr="00F635F8" w:rsidRDefault="00934BD3" w:rsidP="00934BD3">
      <w:pPr>
        <w:spacing w:before="0" w:line="240" w:lineRule="auto"/>
        <w:jc w:val="both"/>
      </w:pPr>
    </w:p>
    <w:p w14:paraId="6CB15158" w14:textId="1F59DF0B" w:rsidR="00AC4063" w:rsidRPr="00F635F8" w:rsidRDefault="003B34DB" w:rsidP="00934BD3">
      <w:pPr>
        <w:spacing w:before="0" w:line="240" w:lineRule="auto"/>
        <w:jc w:val="both"/>
        <w:rPr>
          <w:rFonts w:eastAsia="Times New Roman"/>
          <w:color w:val="000000"/>
        </w:rPr>
      </w:pPr>
      <w:r w:rsidRPr="00F635F8">
        <w:tab/>
      </w:r>
      <w:r w:rsidR="00BE31A3" w:rsidRPr="00F635F8">
        <w:t xml:space="preserve">The statute is limited to government records of the </w:t>
      </w:r>
      <w:r w:rsidR="00171BBE" w:rsidRPr="00F635F8">
        <w:t>“</w:t>
      </w:r>
      <w:r w:rsidR="00BE31A3" w:rsidRPr="00F635F8">
        <w:t>United States</w:t>
      </w:r>
      <w:r w:rsidR="00F621D0" w:rsidRPr="00F635F8">
        <w:t xml:space="preserve"> or of any state, territory or jurisdiction of the United States, or </w:t>
      </w:r>
      <w:r w:rsidR="00971092" w:rsidRPr="00F635F8">
        <w:t xml:space="preserve">of </w:t>
      </w:r>
      <w:r w:rsidR="00F621D0" w:rsidRPr="00F635F8">
        <w:t>any court thereof</w:t>
      </w:r>
      <w:r w:rsidR="00971092" w:rsidRPr="00F635F8">
        <w:t>.</w:t>
      </w:r>
      <w:r w:rsidR="00F621D0" w:rsidRPr="00F635F8">
        <w:t>”</w:t>
      </w:r>
      <w:r w:rsidR="00BD5E32" w:rsidRPr="00F635F8">
        <w:t xml:space="preserve"> </w:t>
      </w:r>
      <w:r w:rsidR="005576C1" w:rsidRPr="00F635F8">
        <w:t xml:space="preserve">In </w:t>
      </w:r>
      <w:r w:rsidR="00971092" w:rsidRPr="00F635F8">
        <w:rPr>
          <w:i/>
          <w:iCs/>
        </w:rPr>
        <w:t>Brill v Brill</w:t>
      </w:r>
      <w:r w:rsidR="00971092" w:rsidRPr="00F635F8">
        <w:t xml:space="preserve"> </w:t>
      </w:r>
      <w:r w:rsidR="003E775D" w:rsidRPr="00F635F8">
        <w:t>(</w:t>
      </w:r>
      <w:r w:rsidR="00971092" w:rsidRPr="00F635F8">
        <w:t>10 NY2d 308</w:t>
      </w:r>
      <w:r w:rsidR="0092723F" w:rsidRPr="00F635F8">
        <w:t xml:space="preserve">, </w:t>
      </w:r>
      <w:r w:rsidR="00B03593" w:rsidRPr="00F635F8">
        <w:t>3</w:t>
      </w:r>
      <w:r w:rsidR="003E775D" w:rsidRPr="00F635F8">
        <w:t>10</w:t>
      </w:r>
      <w:r w:rsidR="00547CA5" w:rsidRPr="00F635F8">
        <w:t xml:space="preserve"> </w:t>
      </w:r>
      <w:r w:rsidR="003E775D" w:rsidRPr="00F635F8">
        <w:t>[</w:t>
      </w:r>
      <w:r w:rsidR="00547CA5" w:rsidRPr="00F635F8">
        <w:t>1961</w:t>
      </w:r>
      <w:r w:rsidR="003E775D" w:rsidRPr="00F635F8">
        <w:t>]</w:t>
      </w:r>
      <w:r w:rsidR="00547CA5" w:rsidRPr="00F635F8">
        <w:t>)</w:t>
      </w:r>
      <w:r w:rsidR="005576C1" w:rsidRPr="00F635F8">
        <w:t>, however, the Court of Appeals</w:t>
      </w:r>
      <w:r w:rsidR="002C532A" w:rsidRPr="00F635F8">
        <w:t>,</w:t>
      </w:r>
      <w:r w:rsidR="005576C1" w:rsidRPr="00F635F8">
        <w:t xml:space="preserve"> </w:t>
      </w:r>
      <w:r w:rsidR="002C532A" w:rsidRPr="00F635F8">
        <w:t xml:space="preserve">in accord with prior common law, </w:t>
      </w:r>
      <w:r w:rsidR="00E260B4" w:rsidRPr="00F635F8">
        <w:t>on</w:t>
      </w:r>
      <w:r w:rsidR="00AC4063" w:rsidRPr="00F635F8">
        <w:t xml:space="preserve"> a motion for summary judgment</w:t>
      </w:r>
      <w:r w:rsidR="00B57D22" w:rsidRPr="00F635F8">
        <w:t xml:space="preserve">, </w:t>
      </w:r>
      <w:r w:rsidR="0092723F" w:rsidRPr="00F635F8">
        <w:t>accepted</w:t>
      </w:r>
      <w:r w:rsidR="0092723F" w:rsidRPr="00F635F8">
        <w:rPr>
          <w:rFonts w:eastAsia="Times New Roman"/>
        </w:rPr>
        <w:t xml:space="preserve"> </w:t>
      </w:r>
      <w:r w:rsidR="00AC4063" w:rsidRPr="00F635F8">
        <w:rPr>
          <w:rFonts w:eastAsia="Times New Roman"/>
        </w:rPr>
        <w:t xml:space="preserve">certificates </w:t>
      </w:r>
      <w:r w:rsidR="00E824B0" w:rsidRPr="00F635F8">
        <w:rPr>
          <w:rFonts w:eastAsia="Times New Roman"/>
          <w:color w:val="000000"/>
        </w:rPr>
        <w:t>of officials of Mexican courts</w:t>
      </w:r>
      <w:r w:rsidR="00AC4063" w:rsidRPr="00F635F8">
        <w:rPr>
          <w:rFonts w:eastAsia="Times New Roman"/>
          <w:color w:val="000000"/>
        </w:rPr>
        <w:t xml:space="preserve">, </w:t>
      </w:r>
      <w:r w:rsidR="00E824B0" w:rsidRPr="00F635F8">
        <w:rPr>
          <w:rFonts w:eastAsia="Times New Roman"/>
          <w:color w:val="000000"/>
        </w:rPr>
        <w:t>“</w:t>
      </w:r>
      <w:r w:rsidR="00AC4063" w:rsidRPr="00F635F8">
        <w:rPr>
          <w:rFonts w:eastAsia="Times New Roman"/>
          <w:color w:val="000000"/>
        </w:rPr>
        <w:t>duly authenticated by the Vice-Consul of the U. S. A.,</w:t>
      </w:r>
      <w:r w:rsidR="00E824B0" w:rsidRPr="00F635F8">
        <w:rPr>
          <w:rFonts w:eastAsia="Times New Roman"/>
          <w:color w:val="000000"/>
        </w:rPr>
        <w:t>”</w:t>
      </w:r>
      <w:r w:rsidR="00AC4063" w:rsidRPr="00F635F8">
        <w:rPr>
          <w:rFonts w:eastAsia="Times New Roman"/>
          <w:color w:val="000000"/>
        </w:rPr>
        <w:t xml:space="preserve"> stating that </w:t>
      </w:r>
      <w:r w:rsidR="00E824B0" w:rsidRPr="00F635F8">
        <w:rPr>
          <w:rFonts w:eastAsia="Times New Roman"/>
          <w:color w:val="000000"/>
        </w:rPr>
        <w:t>“</w:t>
      </w:r>
      <w:r w:rsidR="00AC4063" w:rsidRPr="00F635F8">
        <w:rPr>
          <w:rFonts w:eastAsia="Times New Roman"/>
          <w:color w:val="000000"/>
        </w:rPr>
        <w:t>they have searched the files of the court since the year 1954 but that no divorce action</w:t>
      </w:r>
      <w:r w:rsidR="00485FCE" w:rsidRPr="00F635F8">
        <w:rPr>
          <w:rFonts w:eastAsia="Times New Roman"/>
          <w:color w:val="000000"/>
        </w:rPr>
        <w:t xml:space="preserve">” between the parties </w:t>
      </w:r>
      <w:r w:rsidR="0002077F" w:rsidRPr="00F635F8">
        <w:rPr>
          <w:rFonts w:eastAsia="Times New Roman"/>
          <w:color w:val="000000"/>
        </w:rPr>
        <w:t>in the New York action “</w:t>
      </w:r>
      <w:r w:rsidR="00AC4063" w:rsidRPr="00F635F8">
        <w:rPr>
          <w:rFonts w:eastAsia="Times New Roman"/>
          <w:color w:val="000000"/>
        </w:rPr>
        <w:t>has been registered</w:t>
      </w:r>
      <w:r w:rsidR="00E260B4" w:rsidRPr="00F635F8">
        <w:rPr>
          <w:rFonts w:eastAsia="Times New Roman"/>
          <w:color w:val="000000"/>
        </w:rPr>
        <w:t>.</w:t>
      </w:r>
      <w:r w:rsidR="004F7391" w:rsidRPr="00F635F8">
        <w:rPr>
          <w:rFonts w:eastAsia="Times New Roman"/>
          <w:color w:val="000000"/>
        </w:rPr>
        <w:t>”</w:t>
      </w:r>
    </w:p>
    <w:p w14:paraId="252A95A0" w14:textId="77777777" w:rsidR="00934BD3" w:rsidRPr="00F635F8" w:rsidRDefault="00934BD3" w:rsidP="00934BD3">
      <w:pPr>
        <w:spacing w:before="0" w:line="240" w:lineRule="auto"/>
        <w:jc w:val="both"/>
      </w:pPr>
    </w:p>
    <w:p w14:paraId="4D525F2C" w14:textId="1A7A0C47" w:rsidR="00B3177E" w:rsidRPr="00F635F8" w:rsidRDefault="00475E32" w:rsidP="0042378E">
      <w:pPr>
        <w:spacing w:before="0" w:line="240" w:lineRule="auto"/>
        <w:ind w:firstLine="720"/>
        <w:jc w:val="both"/>
      </w:pPr>
      <w:r w:rsidRPr="00F635F8">
        <w:lastRenderedPageBreak/>
        <w:t>“CPLR 4521 and its predecessors have provided an expeditious method of proving such matters as the failure of a married couple to have obtained a divorce</w:t>
      </w:r>
      <w:r w:rsidR="006C21FA" w:rsidRPr="00F635F8">
        <w:t xml:space="preserve"> </w:t>
      </w:r>
      <w:r w:rsidRPr="00F635F8">
        <w:t>decree (</w:t>
      </w:r>
      <w:r w:rsidRPr="00F635F8">
        <w:rPr>
          <w:i/>
          <w:iCs/>
        </w:rPr>
        <w:t>Matter of Brown</w:t>
      </w:r>
      <w:r w:rsidR="00ED1F37">
        <w:rPr>
          <w:i/>
          <w:iCs/>
        </w:rPr>
        <w:t>’</w:t>
      </w:r>
      <w:r w:rsidRPr="00F635F8">
        <w:rPr>
          <w:i/>
          <w:iCs/>
        </w:rPr>
        <w:t>s Estate</w:t>
      </w:r>
      <w:r w:rsidRPr="00F635F8">
        <w:t xml:space="preserve">, 1976, 40 N.Y.2d 938, 390 N.Y.S.2d 59, 358 N.E.2d 883), the failure of a landowner to have obtained a building permit </w:t>
      </w:r>
      <w:r w:rsidR="007458C1" w:rsidRPr="00F635F8">
        <w:t>(</w:t>
      </w:r>
      <w:r w:rsidRPr="00F635F8">
        <w:rPr>
          <w:i/>
          <w:iCs/>
        </w:rPr>
        <w:t>Deshong v. City of New York</w:t>
      </w:r>
      <w:r w:rsidRPr="00F635F8">
        <w:t xml:space="preserve">, 1903, 176 N.Y. 475, 68 N.E. 880), and the failure </w:t>
      </w:r>
      <w:r w:rsidR="00485589" w:rsidRPr="00F635F8">
        <w:t>o</w:t>
      </w:r>
      <w:r w:rsidRPr="00F635F8">
        <w:t>f a contractor to have obtained a license to do business (</w:t>
      </w:r>
      <w:r w:rsidRPr="00F635F8">
        <w:rPr>
          <w:i/>
          <w:iCs/>
        </w:rPr>
        <w:t>Dartmouth Plan, Inc. v. Valle</w:t>
      </w:r>
      <w:r w:rsidRPr="00F635F8">
        <w:t>, 1983, 117 Misc.2d 534, 458 N.Y.S.2d 848 (Sup.</w:t>
      </w:r>
      <w:r w:rsidR="00934BD3" w:rsidRPr="00F635F8">
        <w:t xml:space="preserve"> </w:t>
      </w:r>
      <w:r w:rsidRPr="00F635F8">
        <w:t>Ct.</w:t>
      </w:r>
      <w:r w:rsidR="00934BD3" w:rsidRPr="00F635F8">
        <w:t xml:space="preserve"> </w:t>
      </w:r>
      <w:r w:rsidRPr="00F635F8">
        <w:t xml:space="preserve">Kings Co.).” </w:t>
      </w:r>
      <w:r w:rsidR="00934BD3" w:rsidRPr="00F635F8">
        <w:t>(</w:t>
      </w:r>
      <w:r w:rsidR="004D4EE1" w:rsidRPr="00F635F8">
        <w:t xml:space="preserve">Vincent C. </w:t>
      </w:r>
      <w:r w:rsidR="003D16CD" w:rsidRPr="00F635F8">
        <w:rPr>
          <w:lang w:val="x-none"/>
        </w:rPr>
        <w:t>Alexander, Practice Commentaries, McKinney’s Cons Laws of NY,</w:t>
      </w:r>
      <w:r w:rsidR="007B72A2">
        <w:t xml:space="preserve"> Book 7B,</w:t>
      </w:r>
      <w:r w:rsidR="003D16CD" w:rsidRPr="00F635F8">
        <w:rPr>
          <w:lang w:val="x-none"/>
        </w:rPr>
        <w:t xml:space="preserve"> CPLR </w:t>
      </w:r>
      <w:r w:rsidR="003D16CD" w:rsidRPr="00F635F8">
        <w:t>4521</w:t>
      </w:r>
      <w:r w:rsidR="00905150">
        <w:t>.</w:t>
      </w:r>
      <w:r w:rsidR="003D16CD" w:rsidRPr="00F635F8">
        <w:rPr>
          <w:lang w:val="x-none"/>
        </w:rPr>
        <w:t>)</w:t>
      </w:r>
    </w:p>
    <w:p w14:paraId="47C9E323" w14:textId="77777777" w:rsidR="00934BD3" w:rsidRPr="00F635F8" w:rsidRDefault="00934BD3" w:rsidP="00934BD3">
      <w:pPr>
        <w:spacing w:before="0" w:line="240" w:lineRule="auto"/>
        <w:ind w:right="720"/>
        <w:jc w:val="both"/>
      </w:pPr>
    </w:p>
    <w:p w14:paraId="1D73A0CC" w14:textId="2C2BF325" w:rsidR="00504440" w:rsidRPr="00F635F8" w:rsidRDefault="002B5DC1" w:rsidP="00934BD3">
      <w:pPr>
        <w:spacing w:before="0" w:line="240" w:lineRule="auto"/>
        <w:jc w:val="both"/>
      </w:pPr>
      <w:r w:rsidRPr="00F635F8">
        <w:tab/>
      </w:r>
      <w:r w:rsidR="00B039A4" w:rsidRPr="00F635F8">
        <w:t>Although unresolved by an appellate court</w:t>
      </w:r>
      <w:r w:rsidR="00846F82" w:rsidRPr="00F635F8">
        <w:t>,</w:t>
      </w:r>
      <w:r w:rsidR="00B039A4" w:rsidRPr="00F635F8">
        <w:t xml:space="preserve"> </w:t>
      </w:r>
      <w:r w:rsidRPr="00F635F8">
        <w:t xml:space="preserve">CPLR 4521 </w:t>
      </w:r>
      <w:r w:rsidR="00B039A4" w:rsidRPr="00F635F8">
        <w:t>“</w:t>
      </w:r>
      <w:r w:rsidRPr="00F635F8">
        <w:t>should not preclude recognition of a common law hearsay exception for testimony about the absence of a public record</w:t>
      </w:r>
      <w:r w:rsidR="003108B7">
        <w:t>.</w:t>
      </w:r>
      <w:r w:rsidRPr="00F635F8">
        <w:t xml:space="preserve">” </w:t>
      </w:r>
      <w:r w:rsidR="00617EA6" w:rsidRPr="00F635F8">
        <w:t>(</w:t>
      </w:r>
      <w:r w:rsidRPr="00F635F8">
        <w:rPr>
          <w:i/>
          <w:iCs/>
        </w:rPr>
        <w:t>Id.</w:t>
      </w:r>
      <w:r w:rsidR="00CE66EF" w:rsidRPr="00F635F8">
        <w:t xml:space="preserve">; </w:t>
      </w:r>
      <w:r w:rsidR="00CE66EF" w:rsidRPr="00F635F8">
        <w:rPr>
          <w:i/>
          <w:iCs/>
        </w:rPr>
        <w:t>People v Niang</w:t>
      </w:r>
      <w:r w:rsidR="00CE66EF" w:rsidRPr="00F635F8">
        <w:t>, 160 Misc 2d 500, 502 [Crim Ct</w:t>
      </w:r>
      <w:r w:rsidR="0086461F" w:rsidRPr="00F635F8">
        <w:t>,</w:t>
      </w:r>
      <w:r w:rsidR="00CE66EF" w:rsidRPr="00F635F8">
        <w:t xml:space="preserve"> </w:t>
      </w:r>
      <w:r w:rsidR="00BD5E32" w:rsidRPr="00F635F8">
        <w:t xml:space="preserve">NY County </w:t>
      </w:r>
      <w:r w:rsidR="00CE66EF" w:rsidRPr="00F635F8">
        <w:t xml:space="preserve">1994]; </w:t>
      </w:r>
      <w:r w:rsidR="00CE66EF" w:rsidRPr="00F635F8">
        <w:rPr>
          <w:i/>
          <w:iCs/>
        </w:rPr>
        <w:t>see</w:t>
      </w:r>
      <w:r w:rsidR="0047144A" w:rsidRPr="00F635F8">
        <w:t xml:space="preserve"> CPLR 4543 </w:t>
      </w:r>
      <w:r w:rsidR="00927DA0" w:rsidRPr="00F635F8">
        <w:t>[“Nothing in this article prevents the proof of a fact . . . by any method auth</w:t>
      </w:r>
      <w:r w:rsidR="004347FC" w:rsidRPr="00F635F8">
        <w:t>orized . . . by the rules of evidence at common law”]</w:t>
      </w:r>
      <w:r w:rsidR="00CE66EF" w:rsidRPr="00F635F8">
        <w:t>.</w:t>
      </w:r>
      <w:r w:rsidR="00FC1D99" w:rsidRPr="00F635F8">
        <w:t>)</w:t>
      </w:r>
    </w:p>
    <w:p w14:paraId="6767ABDE" w14:textId="77777777" w:rsidR="00934BD3" w:rsidRPr="00F635F8" w:rsidRDefault="00934BD3" w:rsidP="00934BD3">
      <w:pPr>
        <w:spacing w:before="0" w:line="240" w:lineRule="auto"/>
        <w:jc w:val="both"/>
      </w:pPr>
    </w:p>
    <w:p w14:paraId="240CF6C5" w14:textId="0B4DF27E" w:rsidR="00B7251C" w:rsidRPr="00F635F8" w:rsidRDefault="00934BD3" w:rsidP="00934BD3">
      <w:pPr>
        <w:tabs>
          <w:tab w:val="left" w:pos="720"/>
        </w:tabs>
        <w:spacing w:before="0" w:line="240" w:lineRule="auto"/>
        <w:jc w:val="both"/>
      </w:pPr>
      <w:r w:rsidRPr="00F635F8">
        <w:tab/>
      </w:r>
      <w:r w:rsidR="00746B23" w:rsidRPr="00F635F8">
        <w:t>In a criminal proceeding, w</w:t>
      </w:r>
      <w:r w:rsidR="002B5DC1" w:rsidRPr="00F635F8">
        <w:t xml:space="preserve">ith or without a certificate, </w:t>
      </w:r>
      <w:r w:rsidR="00B0394F" w:rsidRPr="00F635F8">
        <w:t xml:space="preserve">if the lack of a record or entry constitutes testimonial evidence, </w:t>
      </w:r>
      <w:r w:rsidR="002B5DC1" w:rsidRPr="00F635F8">
        <w:t>the official may be required to testify</w:t>
      </w:r>
      <w:r w:rsidR="00AA2862" w:rsidRPr="00F635F8">
        <w:t xml:space="preserve">, </w:t>
      </w:r>
      <w:r w:rsidR="00E332F2" w:rsidRPr="00F635F8">
        <w:t>subject to cross-examination, for example, on what constituted a “due diligent” search</w:t>
      </w:r>
      <w:r w:rsidR="002B5DC1" w:rsidRPr="00F635F8">
        <w:t>.</w:t>
      </w:r>
      <w:r w:rsidR="008646ED">
        <w:t xml:space="preserve"> </w:t>
      </w:r>
      <w:r w:rsidR="00FC1D99" w:rsidRPr="00F635F8">
        <w:t>(</w:t>
      </w:r>
      <w:r w:rsidR="00E332F2" w:rsidRPr="00F635F8">
        <w:rPr>
          <w:i/>
          <w:iCs/>
        </w:rPr>
        <w:t>See</w:t>
      </w:r>
      <w:r w:rsidR="00E332F2" w:rsidRPr="00F635F8">
        <w:t xml:space="preserve"> </w:t>
      </w:r>
      <w:r w:rsidR="003F2887" w:rsidRPr="00F635F8">
        <w:rPr>
          <w:i/>
          <w:lang w:val="x-none"/>
        </w:rPr>
        <w:t>Bullcoming v New Mexico</w:t>
      </w:r>
      <w:r w:rsidR="003F2887" w:rsidRPr="00F635F8">
        <w:rPr>
          <w:iCs/>
          <w:lang w:val="x-none"/>
        </w:rPr>
        <w:t>,</w:t>
      </w:r>
      <w:r w:rsidR="003F2887" w:rsidRPr="00F635F8">
        <w:rPr>
          <w:i/>
          <w:lang w:val="x-none"/>
        </w:rPr>
        <w:t xml:space="preserve"> </w:t>
      </w:r>
      <w:r w:rsidR="00395195" w:rsidRPr="00F635F8">
        <w:t>564 US 647</w:t>
      </w:r>
      <w:r w:rsidR="003F2887" w:rsidRPr="00F635F8">
        <w:t xml:space="preserve"> [</w:t>
      </w:r>
      <w:r w:rsidR="003F2887" w:rsidRPr="00F635F8">
        <w:rPr>
          <w:lang w:val="x-none"/>
        </w:rPr>
        <w:t>2011</w:t>
      </w:r>
      <w:r w:rsidR="003F2887" w:rsidRPr="00F635F8">
        <w:t xml:space="preserve">]; </w:t>
      </w:r>
      <w:r w:rsidR="002B5DC1" w:rsidRPr="00F635F8">
        <w:rPr>
          <w:i/>
          <w:lang w:val="x-none"/>
        </w:rPr>
        <w:t>Crawford v Washington</w:t>
      </w:r>
      <w:r w:rsidR="002B5DC1" w:rsidRPr="00F635F8">
        <w:rPr>
          <w:iCs/>
          <w:lang w:val="x-none"/>
        </w:rPr>
        <w:t>,</w:t>
      </w:r>
      <w:r w:rsidR="002B5DC1" w:rsidRPr="00F635F8">
        <w:rPr>
          <w:i/>
          <w:lang w:val="x-none"/>
        </w:rPr>
        <w:t xml:space="preserve"> </w:t>
      </w:r>
      <w:r w:rsidR="002B5DC1" w:rsidRPr="00F635F8">
        <w:rPr>
          <w:lang w:val="x-none"/>
        </w:rPr>
        <w:t>541 US 36</w:t>
      </w:r>
      <w:r w:rsidR="00E332F2" w:rsidRPr="00F635F8">
        <w:t xml:space="preserve"> </w:t>
      </w:r>
      <w:r w:rsidR="00FC1D99" w:rsidRPr="00F635F8">
        <w:t>[</w:t>
      </w:r>
      <w:r w:rsidR="002B5DC1" w:rsidRPr="00F635F8">
        <w:rPr>
          <w:lang w:val="x-none"/>
        </w:rPr>
        <w:t>2004</w:t>
      </w:r>
      <w:r w:rsidR="00FC1D99" w:rsidRPr="00F635F8">
        <w:t>]</w:t>
      </w:r>
      <w:r w:rsidR="00BF06CE" w:rsidRPr="00F635F8">
        <w:t xml:space="preserve">; </w:t>
      </w:r>
      <w:r w:rsidR="00A31EA1" w:rsidRPr="00F635F8">
        <w:rPr>
          <w:i/>
          <w:lang w:val="x-none"/>
        </w:rPr>
        <w:t>People v Pacer</w:t>
      </w:r>
      <w:r w:rsidR="00A31EA1" w:rsidRPr="00F635F8">
        <w:rPr>
          <w:iCs/>
          <w:lang w:val="x-none"/>
        </w:rPr>
        <w:t>,</w:t>
      </w:r>
      <w:r w:rsidR="00A31EA1" w:rsidRPr="00F635F8">
        <w:rPr>
          <w:i/>
          <w:lang w:val="x-none"/>
        </w:rPr>
        <w:t xml:space="preserve"> </w:t>
      </w:r>
      <w:r w:rsidR="00A31EA1" w:rsidRPr="00F635F8">
        <w:rPr>
          <w:lang w:val="x-none"/>
        </w:rPr>
        <w:t xml:space="preserve">6 NY3d 504 </w:t>
      </w:r>
      <w:r w:rsidR="002E0CFE" w:rsidRPr="00F635F8">
        <w:t>[</w:t>
      </w:r>
      <w:r w:rsidR="00A31EA1" w:rsidRPr="00F635F8">
        <w:rPr>
          <w:lang w:val="x-none"/>
        </w:rPr>
        <w:t>2006</w:t>
      </w:r>
      <w:r w:rsidR="002E0CFE" w:rsidRPr="00F635F8">
        <w:t>]</w:t>
      </w:r>
      <w:r w:rsidR="00B7251C" w:rsidRPr="00F635F8">
        <w:t xml:space="preserve">; </w:t>
      </w:r>
      <w:r w:rsidR="00B7251C" w:rsidRPr="00F635F8">
        <w:rPr>
          <w:i/>
          <w:iCs/>
        </w:rPr>
        <w:t>People v Niene</w:t>
      </w:r>
      <w:r w:rsidR="00B7251C" w:rsidRPr="00F635F8">
        <w:t>, 8 Misc 3d 649, 651 [Crim Ct</w:t>
      </w:r>
      <w:r w:rsidR="002E0CFE" w:rsidRPr="00F635F8">
        <w:t>, NY County</w:t>
      </w:r>
      <w:r w:rsidR="00B7251C" w:rsidRPr="00F635F8">
        <w:t xml:space="preserve"> 2005] [the </w:t>
      </w:r>
      <w:r w:rsidR="00037881" w:rsidRPr="00F635F8">
        <w:t>“</w:t>
      </w:r>
      <w:r w:rsidR="00B7251C" w:rsidRPr="00F635F8">
        <w:t>affidavit</w:t>
      </w:r>
      <w:r w:rsidR="00037881" w:rsidRPr="00F635F8">
        <w:t>”</w:t>
      </w:r>
      <w:r w:rsidR="00B7251C" w:rsidRPr="00F635F8">
        <w:t xml:space="preserve"> of a Department of Consumer Affairs </w:t>
      </w:r>
      <w:r w:rsidR="00037881" w:rsidRPr="00F635F8">
        <w:t>“</w:t>
      </w:r>
      <w:r w:rsidR="00B7251C" w:rsidRPr="00F635F8">
        <w:t>official who reported that her review of the Department's records disclosed that the defendant did not have a general vendor</w:t>
      </w:r>
      <w:r w:rsidR="00ED1F37">
        <w:t>’</w:t>
      </w:r>
      <w:r w:rsidR="00B7251C" w:rsidRPr="00F635F8">
        <w:t>s license” was testimonial evidence</w:t>
      </w:r>
      <w:r w:rsidR="00777333" w:rsidRPr="00F635F8">
        <w:t>;</w:t>
      </w:r>
      <w:r w:rsidR="002160F8" w:rsidRPr="00F635F8">
        <w:t xml:space="preserve"> so</w:t>
      </w:r>
      <w:r w:rsidR="00B7251C" w:rsidRPr="00F635F8">
        <w:rPr>
          <w:color w:val="00B050"/>
        </w:rPr>
        <w:t xml:space="preserve"> </w:t>
      </w:r>
      <w:r w:rsidR="00B7251C" w:rsidRPr="00F635F8">
        <w:t>the defendant was entitled to cross-examine its maker]</w:t>
      </w:r>
      <w:r w:rsidR="0068523D" w:rsidRPr="00F635F8">
        <w:t>.</w:t>
      </w:r>
      <w:r w:rsidR="002E0CFE" w:rsidRPr="00F635F8">
        <w:t>)</w:t>
      </w:r>
    </w:p>
    <w:p w14:paraId="765D2EF8" w14:textId="77777777" w:rsidR="00E332F2" w:rsidRPr="00F635F8" w:rsidRDefault="00E332F2" w:rsidP="00934BD3">
      <w:pPr>
        <w:spacing w:before="0" w:line="240" w:lineRule="auto"/>
        <w:jc w:val="both"/>
      </w:pPr>
    </w:p>
    <w:p w14:paraId="081B0164" w14:textId="16F80C90" w:rsidR="00AD48FC" w:rsidRPr="00F635F8" w:rsidRDefault="00AD48FC" w:rsidP="00934BD3">
      <w:pPr>
        <w:spacing w:before="0" w:line="240" w:lineRule="auto"/>
        <w:jc w:val="both"/>
      </w:pPr>
    </w:p>
    <w:sectPr w:rsidR="00AD48FC" w:rsidRPr="00F635F8" w:rsidSect="00934BD3">
      <w:footerReference w:type="default" r:id="rId7"/>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53364" w14:textId="77777777" w:rsidR="006366EF" w:rsidRDefault="006366EF" w:rsidP="006366EF">
      <w:pPr>
        <w:spacing w:before="0" w:line="240" w:lineRule="auto"/>
      </w:pPr>
      <w:r>
        <w:separator/>
      </w:r>
    </w:p>
  </w:endnote>
  <w:endnote w:type="continuationSeparator" w:id="0">
    <w:p w14:paraId="447E0C5A" w14:textId="77777777" w:rsidR="006366EF" w:rsidRDefault="006366EF" w:rsidP="006366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669245"/>
      <w:docPartObj>
        <w:docPartGallery w:val="Page Numbers (Bottom of Page)"/>
        <w:docPartUnique/>
      </w:docPartObj>
    </w:sdtPr>
    <w:sdtEndPr>
      <w:rPr>
        <w:noProof/>
      </w:rPr>
    </w:sdtEndPr>
    <w:sdtContent>
      <w:p w14:paraId="5EBDFCEF" w14:textId="5FF6418A" w:rsidR="006366EF" w:rsidRDefault="006366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F17A" w14:textId="77777777" w:rsidR="006366EF" w:rsidRDefault="006366EF" w:rsidP="006366EF">
      <w:pPr>
        <w:spacing w:before="0" w:line="240" w:lineRule="auto"/>
      </w:pPr>
      <w:r>
        <w:separator/>
      </w:r>
    </w:p>
  </w:footnote>
  <w:footnote w:type="continuationSeparator" w:id="0">
    <w:p w14:paraId="6971B522" w14:textId="77777777" w:rsidR="006366EF" w:rsidRDefault="006366EF" w:rsidP="006366EF">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9F"/>
    <w:rsid w:val="0000597E"/>
    <w:rsid w:val="0002077F"/>
    <w:rsid w:val="00021AE8"/>
    <w:rsid w:val="00037881"/>
    <w:rsid w:val="0005388B"/>
    <w:rsid w:val="00074147"/>
    <w:rsid w:val="0009265F"/>
    <w:rsid w:val="00093639"/>
    <w:rsid w:val="000943CF"/>
    <w:rsid w:val="000B329F"/>
    <w:rsid w:val="000B4DE6"/>
    <w:rsid w:val="001265D3"/>
    <w:rsid w:val="00131424"/>
    <w:rsid w:val="001510E3"/>
    <w:rsid w:val="00152677"/>
    <w:rsid w:val="00171BBE"/>
    <w:rsid w:val="00172A9B"/>
    <w:rsid w:val="0018245E"/>
    <w:rsid w:val="001B77A1"/>
    <w:rsid w:val="002160F8"/>
    <w:rsid w:val="002401A5"/>
    <w:rsid w:val="00254815"/>
    <w:rsid w:val="00262A6A"/>
    <w:rsid w:val="002B1CC3"/>
    <w:rsid w:val="002B5DC1"/>
    <w:rsid w:val="002C532A"/>
    <w:rsid w:val="002E0CFE"/>
    <w:rsid w:val="00306750"/>
    <w:rsid w:val="003108B7"/>
    <w:rsid w:val="00314C30"/>
    <w:rsid w:val="00342074"/>
    <w:rsid w:val="00395195"/>
    <w:rsid w:val="003B34DB"/>
    <w:rsid w:val="003D16CD"/>
    <w:rsid w:val="003D3D85"/>
    <w:rsid w:val="003E775D"/>
    <w:rsid w:val="003E77A7"/>
    <w:rsid w:val="003F2887"/>
    <w:rsid w:val="003F368D"/>
    <w:rsid w:val="003F3BF4"/>
    <w:rsid w:val="003F7A49"/>
    <w:rsid w:val="0042378E"/>
    <w:rsid w:val="004347FC"/>
    <w:rsid w:val="00442EF5"/>
    <w:rsid w:val="0047144A"/>
    <w:rsid w:val="00475E32"/>
    <w:rsid w:val="00485589"/>
    <w:rsid w:val="00485FCE"/>
    <w:rsid w:val="004D4EE1"/>
    <w:rsid w:val="004F7391"/>
    <w:rsid w:val="00504440"/>
    <w:rsid w:val="005175FC"/>
    <w:rsid w:val="00522350"/>
    <w:rsid w:val="00547CA5"/>
    <w:rsid w:val="0055496E"/>
    <w:rsid w:val="005576C1"/>
    <w:rsid w:val="005C5C77"/>
    <w:rsid w:val="005F10BF"/>
    <w:rsid w:val="00617EA6"/>
    <w:rsid w:val="006256A6"/>
    <w:rsid w:val="006366EF"/>
    <w:rsid w:val="006804CA"/>
    <w:rsid w:val="006813C0"/>
    <w:rsid w:val="0068523D"/>
    <w:rsid w:val="006C1018"/>
    <w:rsid w:val="006C21FA"/>
    <w:rsid w:val="006C54AB"/>
    <w:rsid w:val="006D3D1C"/>
    <w:rsid w:val="006F1F79"/>
    <w:rsid w:val="006F6B73"/>
    <w:rsid w:val="007458C1"/>
    <w:rsid w:val="00746B23"/>
    <w:rsid w:val="00752C2D"/>
    <w:rsid w:val="00777333"/>
    <w:rsid w:val="007B4F93"/>
    <w:rsid w:val="007B72A2"/>
    <w:rsid w:val="007C088F"/>
    <w:rsid w:val="00815992"/>
    <w:rsid w:val="00846F82"/>
    <w:rsid w:val="0086461F"/>
    <w:rsid w:val="008646ED"/>
    <w:rsid w:val="00875134"/>
    <w:rsid w:val="008B55B8"/>
    <w:rsid w:val="008F4122"/>
    <w:rsid w:val="00903BD3"/>
    <w:rsid w:val="00905150"/>
    <w:rsid w:val="00911D14"/>
    <w:rsid w:val="0092723F"/>
    <w:rsid w:val="00927DA0"/>
    <w:rsid w:val="00934BD3"/>
    <w:rsid w:val="00945187"/>
    <w:rsid w:val="009706EC"/>
    <w:rsid w:val="00971092"/>
    <w:rsid w:val="0099562D"/>
    <w:rsid w:val="009A2D5E"/>
    <w:rsid w:val="009A7930"/>
    <w:rsid w:val="009B3705"/>
    <w:rsid w:val="00A22E14"/>
    <w:rsid w:val="00A31EA1"/>
    <w:rsid w:val="00AA2862"/>
    <w:rsid w:val="00AB28F2"/>
    <w:rsid w:val="00AC4063"/>
    <w:rsid w:val="00AD48FC"/>
    <w:rsid w:val="00AE7C4C"/>
    <w:rsid w:val="00AE7F3F"/>
    <w:rsid w:val="00B03593"/>
    <w:rsid w:val="00B0394F"/>
    <w:rsid w:val="00B039A4"/>
    <w:rsid w:val="00B3177E"/>
    <w:rsid w:val="00B57D22"/>
    <w:rsid w:val="00B7251C"/>
    <w:rsid w:val="00BA1F4D"/>
    <w:rsid w:val="00BC2A4A"/>
    <w:rsid w:val="00BC3653"/>
    <w:rsid w:val="00BD5E32"/>
    <w:rsid w:val="00BE31A3"/>
    <w:rsid w:val="00BF06CE"/>
    <w:rsid w:val="00C14C96"/>
    <w:rsid w:val="00C37BCA"/>
    <w:rsid w:val="00C934F0"/>
    <w:rsid w:val="00CA2A87"/>
    <w:rsid w:val="00CC4543"/>
    <w:rsid w:val="00CE66EF"/>
    <w:rsid w:val="00CE69D7"/>
    <w:rsid w:val="00D10EAB"/>
    <w:rsid w:val="00D237A6"/>
    <w:rsid w:val="00D454CD"/>
    <w:rsid w:val="00D50EE4"/>
    <w:rsid w:val="00D576E0"/>
    <w:rsid w:val="00D763AA"/>
    <w:rsid w:val="00D87625"/>
    <w:rsid w:val="00D97016"/>
    <w:rsid w:val="00DC7B7E"/>
    <w:rsid w:val="00E17D9C"/>
    <w:rsid w:val="00E260B4"/>
    <w:rsid w:val="00E332F2"/>
    <w:rsid w:val="00E824B0"/>
    <w:rsid w:val="00ED1F37"/>
    <w:rsid w:val="00EF1E58"/>
    <w:rsid w:val="00F00117"/>
    <w:rsid w:val="00F10D3B"/>
    <w:rsid w:val="00F12AC3"/>
    <w:rsid w:val="00F15C76"/>
    <w:rsid w:val="00F34BC7"/>
    <w:rsid w:val="00F621D0"/>
    <w:rsid w:val="00F635F8"/>
    <w:rsid w:val="00F645FB"/>
    <w:rsid w:val="00F80BE9"/>
    <w:rsid w:val="00FB15CE"/>
    <w:rsid w:val="00FC1D99"/>
    <w:rsid w:val="00FF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B8CF"/>
  <w15:chartTrackingRefBased/>
  <w15:docId w15:val="{6A609A38-9B3F-4FDC-9F2C-43E0CDE0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rmal"/>
    <w:next w:val="Normal"/>
    <w:uiPriority w:val="99"/>
    <w:rsid w:val="006F6B73"/>
    <w:pPr>
      <w:tabs>
        <w:tab w:val="right" w:leader="dot" w:pos="9360"/>
      </w:tabs>
      <w:suppressAutoHyphens/>
      <w:spacing w:before="480" w:line="240" w:lineRule="atLeast"/>
      <w:ind w:left="720" w:right="720" w:hanging="720"/>
    </w:pPr>
    <w:rPr>
      <w:rFonts w:eastAsia="Times New Roman"/>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character" w:styleId="CommentReference">
    <w:name w:val="annotation reference"/>
    <w:basedOn w:val="DefaultParagraphFont"/>
    <w:uiPriority w:val="99"/>
    <w:semiHidden/>
    <w:unhideWhenUsed/>
    <w:rsid w:val="00F80BE9"/>
    <w:rPr>
      <w:sz w:val="16"/>
      <w:szCs w:val="16"/>
    </w:rPr>
  </w:style>
  <w:style w:type="paragraph" w:styleId="CommentText">
    <w:name w:val="annotation text"/>
    <w:basedOn w:val="Normal"/>
    <w:link w:val="CommentTextChar"/>
    <w:uiPriority w:val="99"/>
    <w:semiHidden/>
    <w:unhideWhenUsed/>
    <w:rsid w:val="00F80BE9"/>
    <w:pPr>
      <w:spacing w:line="240" w:lineRule="auto"/>
    </w:pPr>
    <w:rPr>
      <w:sz w:val="20"/>
      <w:szCs w:val="20"/>
    </w:rPr>
  </w:style>
  <w:style w:type="character" w:customStyle="1" w:styleId="CommentTextChar">
    <w:name w:val="Comment Text Char"/>
    <w:basedOn w:val="DefaultParagraphFont"/>
    <w:link w:val="CommentText"/>
    <w:uiPriority w:val="99"/>
    <w:semiHidden/>
    <w:rsid w:val="00F80BE9"/>
    <w:rPr>
      <w:sz w:val="20"/>
      <w:szCs w:val="20"/>
    </w:rPr>
  </w:style>
  <w:style w:type="paragraph" w:styleId="CommentSubject">
    <w:name w:val="annotation subject"/>
    <w:basedOn w:val="CommentText"/>
    <w:next w:val="CommentText"/>
    <w:link w:val="CommentSubjectChar"/>
    <w:uiPriority w:val="99"/>
    <w:semiHidden/>
    <w:unhideWhenUsed/>
    <w:rsid w:val="00F80BE9"/>
    <w:rPr>
      <w:b/>
      <w:bCs/>
    </w:rPr>
  </w:style>
  <w:style w:type="character" w:customStyle="1" w:styleId="CommentSubjectChar">
    <w:name w:val="Comment Subject Char"/>
    <w:basedOn w:val="CommentTextChar"/>
    <w:link w:val="CommentSubject"/>
    <w:uiPriority w:val="99"/>
    <w:semiHidden/>
    <w:rsid w:val="00F80BE9"/>
    <w:rPr>
      <w:b/>
      <w:bCs/>
      <w:sz w:val="20"/>
      <w:szCs w:val="20"/>
    </w:rPr>
  </w:style>
  <w:style w:type="paragraph" w:styleId="Revision">
    <w:name w:val="Revision"/>
    <w:hidden/>
    <w:uiPriority w:val="99"/>
    <w:semiHidden/>
    <w:rsid w:val="00ED1F37"/>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4588">
      <w:bodyDiv w:val="1"/>
      <w:marLeft w:val="0"/>
      <w:marRight w:val="0"/>
      <w:marTop w:val="0"/>
      <w:marBottom w:val="0"/>
      <w:divBdr>
        <w:top w:val="none" w:sz="0" w:space="0" w:color="auto"/>
        <w:left w:val="none" w:sz="0" w:space="0" w:color="auto"/>
        <w:bottom w:val="none" w:sz="0" w:space="0" w:color="auto"/>
        <w:right w:val="none" w:sz="0" w:space="0" w:color="auto"/>
      </w:divBdr>
      <w:divsChild>
        <w:div w:id="1071808428">
          <w:marLeft w:val="0"/>
          <w:marRight w:val="0"/>
          <w:marTop w:val="0"/>
          <w:marBottom w:val="0"/>
          <w:divBdr>
            <w:top w:val="none" w:sz="0" w:space="0" w:color="auto"/>
            <w:left w:val="none" w:sz="0" w:space="0" w:color="auto"/>
            <w:bottom w:val="none" w:sz="0" w:space="0" w:color="auto"/>
            <w:right w:val="none" w:sz="0" w:space="0" w:color="auto"/>
          </w:divBdr>
          <w:divsChild>
            <w:div w:id="1180850340">
              <w:marLeft w:val="0"/>
              <w:marRight w:val="0"/>
              <w:marTop w:val="0"/>
              <w:marBottom w:val="0"/>
              <w:divBdr>
                <w:top w:val="none" w:sz="0" w:space="0" w:color="auto"/>
                <w:left w:val="none" w:sz="0" w:space="0" w:color="auto"/>
                <w:bottom w:val="none" w:sz="0" w:space="0" w:color="auto"/>
                <w:right w:val="none" w:sz="0" w:space="0" w:color="auto"/>
              </w:divBdr>
              <w:divsChild>
                <w:div w:id="11097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39836">
      <w:bodyDiv w:val="1"/>
      <w:marLeft w:val="0"/>
      <w:marRight w:val="0"/>
      <w:marTop w:val="0"/>
      <w:marBottom w:val="0"/>
      <w:divBdr>
        <w:top w:val="none" w:sz="0" w:space="0" w:color="auto"/>
        <w:left w:val="none" w:sz="0" w:space="0" w:color="auto"/>
        <w:bottom w:val="none" w:sz="0" w:space="0" w:color="auto"/>
        <w:right w:val="none" w:sz="0" w:space="0" w:color="auto"/>
      </w:divBdr>
      <w:divsChild>
        <w:div w:id="606038909">
          <w:marLeft w:val="0"/>
          <w:marRight w:val="0"/>
          <w:marTop w:val="0"/>
          <w:marBottom w:val="0"/>
          <w:divBdr>
            <w:top w:val="none" w:sz="0" w:space="0" w:color="auto"/>
            <w:left w:val="none" w:sz="0" w:space="0" w:color="auto"/>
            <w:bottom w:val="none" w:sz="0" w:space="0" w:color="auto"/>
            <w:right w:val="none" w:sz="0" w:space="0" w:color="auto"/>
          </w:divBdr>
          <w:divsChild>
            <w:div w:id="439224295">
              <w:marLeft w:val="0"/>
              <w:marRight w:val="0"/>
              <w:marTop w:val="0"/>
              <w:marBottom w:val="0"/>
              <w:divBdr>
                <w:top w:val="none" w:sz="0" w:space="0" w:color="auto"/>
                <w:left w:val="none" w:sz="0" w:space="0" w:color="auto"/>
                <w:bottom w:val="none" w:sz="0" w:space="0" w:color="auto"/>
                <w:right w:val="none" w:sz="0" w:space="0" w:color="auto"/>
              </w:divBdr>
              <w:divsChild>
                <w:div w:id="13896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51540">
      <w:bodyDiv w:val="1"/>
      <w:marLeft w:val="0"/>
      <w:marRight w:val="0"/>
      <w:marTop w:val="0"/>
      <w:marBottom w:val="0"/>
      <w:divBdr>
        <w:top w:val="none" w:sz="0" w:space="0" w:color="auto"/>
        <w:left w:val="none" w:sz="0" w:space="0" w:color="auto"/>
        <w:bottom w:val="none" w:sz="0" w:space="0" w:color="auto"/>
        <w:right w:val="none" w:sz="0" w:space="0" w:color="auto"/>
      </w:divBdr>
      <w:divsChild>
        <w:div w:id="1110398398">
          <w:marLeft w:val="0"/>
          <w:marRight w:val="0"/>
          <w:marTop w:val="0"/>
          <w:marBottom w:val="0"/>
          <w:divBdr>
            <w:top w:val="none" w:sz="0" w:space="0" w:color="auto"/>
            <w:left w:val="none" w:sz="0" w:space="0" w:color="auto"/>
            <w:bottom w:val="none" w:sz="0" w:space="0" w:color="auto"/>
            <w:right w:val="none" w:sz="0" w:space="0" w:color="auto"/>
          </w:divBdr>
          <w:divsChild>
            <w:div w:id="1777823496">
              <w:marLeft w:val="0"/>
              <w:marRight w:val="0"/>
              <w:marTop w:val="0"/>
              <w:marBottom w:val="0"/>
              <w:divBdr>
                <w:top w:val="none" w:sz="0" w:space="0" w:color="auto"/>
                <w:left w:val="none" w:sz="0" w:space="0" w:color="auto"/>
                <w:bottom w:val="none" w:sz="0" w:space="0" w:color="auto"/>
                <w:right w:val="none" w:sz="0" w:space="0" w:color="auto"/>
              </w:divBdr>
              <w:divsChild>
                <w:div w:id="15416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95866">
      <w:bodyDiv w:val="1"/>
      <w:marLeft w:val="0"/>
      <w:marRight w:val="0"/>
      <w:marTop w:val="0"/>
      <w:marBottom w:val="0"/>
      <w:divBdr>
        <w:top w:val="none" w:sz="0" w:space="0" w:color="auto"/>
        <w:left w:val="none" w:sz="0" w:space="0" w:color="auto"/>
        <w:bottom w:val="none" w:sz="0" w:space="0" w:color="auto"/>
        <w:right w:val="none" w:sz="0" w:space="0" w:color="auto"/>
      </w:divBdr>
      <w:divsChild>
        <w:div w:id="1581599315">
          <w:marLeft w:val="0"/>
          <w:marRight w:val="0"/>
          <w:marTop w:val="0"/>
          <w:marBottom w:val="0"/>
          <w:divBdr>
            <w:top w:val="none" w:sz="0" w:space="0" w:color="auto"/>
            <w:left w:val="none" w:sz="0" w:space="0" w:color="auto"/>
            <w:bottom w:val="none" w:sz="0" w:space="0" w:color="auto"/>
            <w:right w:val="none" w:sz="0" w:space="0" w:color="auto"/>
          </w:divBdr>
          <w:divsChild>
            <w:div w:id="537088265">
              <w:marLeft w:val="0"/>
              <w:marRight w:val="0"/>
              <w:marTop w:val="0"/>
              <w:marBottom w:val="0"/>
              <w:divBdr>
                <w:top w:val="none" w:sz="0" w:space="0" w:color="auto"/>
                <w:left w:val="none" w:sz="0" w:space="0" w:color="auto"/>
                <w:bottom w:val="none" w:sz="0" w:space="0" w:color="auto"/>
                <w:right w:val="none" w:sz="0" w:space="0" w:color="auto"/>
              </w:divBdr>
              <w:divsChild>
                <w:div w:id="21260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7A5A-93E9-463F-87AA-10009FD6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81</cp:revision>
  <cp:lastPrinted>2022-05-17T14:26:00Z</cp:lastPrinted>
  <dcterms:created xsi:type="dcterms:W3CDTF">2022-02-16T22:44:00Z</dcterms:created>
  <dcterms:modified xsi:type="dcterms:W3CDTF">2022-05-19T04:20:00Z</dcterms:modified>
</cp:coreProperties>
</file>