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5D70" w14:textId="62BAF71B" w:rsidR="00412D4D" w:rsidRPr="007163F9" w:rsidRDefault="006A6E19" w:rsidP="007163F9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7A714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478A5" w:rsidRPr="007163F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7A71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412D4D" w:rsidRPr="00716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Conveyance of </w:t>
      </w:r>
      <w:r w:rsidR="000D7226" w:rsidRPr="00716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Real Property Without the State </w:t>
      </w:r>
      <w:r w:rsidR="00CD27CD" w:rsidRPr="007163F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A3677F" w:rsidRPr="007163F9">
        <w:rPr>
          <w:rFonts w:ascii="Times New Roman" w:eastAsia="Times New Roman" w:hAnsi="Times New Roman" w:cs="Times New Roman"/>
          <w:b/>
          <w:bCs/>
          <w:sz w:val="28"/>
          <w:szCs w:val="28"/>
        </w:rPr>
        <w:t>CPLR 4524</w:t>
      </w:r>
      <w:r w:rsidR="00CD27CD" w:rsidRPr="007163F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1D3C8C79" w14:textId="77777777" w:rsidR="00412D4D" w:rsidRPr="007163F9" w:rsidRDefault="00412D4D" w:rsidP="007163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677FD5" w14:textId="211B8FE8" w:rsidR="00412D4D" w:rsidRPr="007163F9" w:rsidRDefault="00412D4D" w:rsidP="007163F9">
      <w:pPr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63F9">
        <w:rPr>
          <w:rFonts w:ascii="Times New Roman" w:eastAsia="Times New Roman" w:hAnsi="Times New Roman" w:cs="Times New Roman"/>
          <w:b/>
          <w:bCs/>
          <w:sz w:val="28"/>
          <w:szCs w:val="28"/>
        </w:rPr>
        <w:t>A record of a conveyance of real property situated within another state, territory</w:t>
      </w:r>
      <w:r w:rsidR="003B275F" w:rsidRPr="007163F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7163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 jurisdiction of the United States, recorded therein pursuant to its laws, is prima facie evidence of conveyance and of due execution.</w:t>
      </w:r>
    </w:p>
    <w:p w14:paraId="1CCE13DB" w14:textId="6F106969" w:rsidR="009F5231" w:rsidRPr="007163F9" w:rsidRDefault="009F5231" w:rsidP="007163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8CF83" w14:textId="5A145005" w:rsidR="00412D4D" w:rsidRPr="007163F9" w:rsidRDefault="00412D4D" w:rsidP="007163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3F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8E4FE0" w:rsidRPr="007163F9">
        <w:rPr>
          <w:rFonts w:ascii="Times New Roman" w:hAnsi="Times New Roman" w:cs="Times New Roman"/>
          <w:b/>
          <w:bCs/>
          <w:sz w:val="28"/>
          <w:szCs w:val="28"/>
        </w:rPr>
        <w:t>ote</w:t>
      </w:r>
    </w:p>
    <w:p w14:paraId="072BE6DE" w14:textId="77777777" w:rsidR="007163F9" w:rsidRPr="007163F9" w:rsidRDefault="007163F9" w:rsidP="00716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0CF48" w14:textId="126D4F0B" w:rsidR="00453EF4" w:rsidRPr="007163F9" w:rsidRDefault="007163F9" w:rsidP="007163F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12D4D" w:rsidRPr="007163F9">
        <w:rPr>
          <w:rFonts w:ascii="Times New Roman" w:eastAsia="Times New Roman" w:hAnsi="Times New Roman" w:cs="Times New Roman"/>
          <w:sz w:val="24"/>
          <w:szCs w:val="24"/>
        </w:rPr>
        <w:t>This rule restates verbatim CPLR 4524.</w:t>
      </w:r>
      <w:bookmarkStart w:id="0" w:name="_Hlk50203006"/>
    </w:p>
    <w:p w14:paraId="78B0460D" w14:textId="77777777" w:rsidR="00E26C00" w:rsidRPr="007163F9" w:rsidRDefault="00E26C00" w:rsidP="00716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75A7B" w14:textId="356AF7BF" w:rsidR="00412D4D" w:rsidRPr="007163F9" w:rsidRDefault="007163F9" w:rsidP="007163F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1822" w:rsidRPr="007163F9">
        <w:rPr>
          <w:rFonts w:ascii="Times New Roman" w:hAnsi="Times New Roman" w:cs="Times New Roman"/>
          <w:sz w:val="24"/>
          <w:szCs w:val="24"/>
        </w:rPr>
        <w:t xml:space="preserve">The statute makes a record of a conveyance of real property located outside New York and its due execution “prima facie evidence” of its contents when the </w:t>
      </w:r>
      <w:r w:rsidR="00412D4D" w:rsidRPr="007163F9">
        <w:rPr>
          <w:rFonts w:ascii="Times New Roman" w:eastAsia="Times New Roman" w:hAnsi="Times New Roman" w:cs="Times New Roman"/>
          <w:sz w:val="24"/>
          <w:szCs w:val="24"/>
        </w:rPr>
        <w:t xml:space="preserve">real property </w:t>
      </w:r>
      <w:r w:rsidR="007679F6" w:rsidRPr="007163F9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412D4D" w:rsidRPr="007163F9">
        <w:rPr>
          <w:rFonts w:ascii="Times New Roman" w:eastAsia="Times New Roman" w:hAnsi="Times New Roman" w:cs="Times New Roman"/>
          <w:sz w:val="24"/>
          <w:szCs w:val="24"/>
        </w:rPr>
        <w:t>situated within another state, territory</w:t>
      </w:r>
      <w:r w:rsidR="00453EF4" w:rsidRPr="007163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2D4D" w:rsidRPr="007163F9">
        <w:rPr>
          <w:rFonts w:ascii="Times New Roman" w:eastAsia="Times New Roman" w:hAnsi="Times New Roman" w:cs="Times New Roman"/>
          <w:sz w:val="24"/>
          <w:szCs w:val="24"/>
        </w:rPr>
        <w:t xml:space="preserve"> or jurisdiction of the United States </w:t>
      </w:r>
      <w:r w:rsidR="008A249B" w:rsidRPr="007163F9">
        <w:rPr>
          <w:rFonts w:ascii="Times New Roman" w:eastAsia="Times New Roman" w:hAnsi="Times New Roman" w:cs="Times New Roman"/>
          <w:sz w:val="24"/>
          <w:szCs w:val="24"/>
        </w:rPr>
        <w:t xml:space="preserve">and the </w:t>
      </w:r>
      <w:r w:rsidR="00412D4D" w:rsidRPr="007163F9">
        <w:rPr>
          <w:rFonts w:ascii="Times New Roman" w:eastAsia="Times New Roman" w:hAnsi="Times New Roman" w:cs="Times New Roman"/>
          <w:sz w:val="24"/>
          <w:szCs w:val="24"/>
        </w:rPr>
        <w:t>record was recorded in that jurisdiction in accordance with the jurisdiction’s laws.</w:t>
      </w:r>
      <w:bookmarkEnd w:id="0"/>
    </w:p>
    <w:p w14:paraId="78999316" w14:textId="77777777" w:rsidR="00E26C00" w:rsidRPr="007163F9" w:rsidRDefault="00E26C00" w:rsidP="00716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96FEC" w14:textId="77777777" w:rsidR="006A6E19" w:rsidRPr="006A6E19" w:rsidRDefault="007163F9" w:rsidP="006A6E1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76AE" w:rsidRPr="007163F9">
        <w:rPr>
          <w:rFonts w:ascii="Times New Roman" w:hAnsi="Times New Roman" w:cs="Times New Roman"/>
          <w:sz w:val="24"/>
          <w:szCs w:val="24"/>
        </w:rPr>
        <w:t>By making that record “prima facie evidence</w:t>
      </w:r>
      <w:r w:rsidR="00A478A5" w:rsidRPr="007163F9">
        <w:rPr>
          <w:rFonts w:ascii="Times New Roman" w:hAnsi="Times New Roman" w:cs="Times New Roman"/>
          <w:sz w:val="24"/>
          <w:szCs w:val="24"/>
        </w:rPr>
        <w:t>”</w:t>
      </w:r>
      <w:r w:rsidR="00F076AE" w:rsidRPr="007163F9">
        <w:rPr>
          <w:rFonts w:ascii="Times New Roman" w:hAnsi="Times New Roman" w:cs="Times New Roman"/>
          <w:sz w:val="24"/>
          <w:szCs w:val="24"/>
        </w:rPr>
        <w:t xml:space="preserve"> of the conveyance and its due execution, the statute </w:t>
      </w:r>
      <w:r w:rsidR="00455946" w:rsidRPr="007163F9">
        <w:rPr>
          <w:rFonts w:ascii="Times New Roman" w:hAnsi="Times New Roman" w:cs="Times New Roman"/>
          <w:sz w:val="24"/>
          <w:szCs w:val="24"/>
        </w:rPr>
        <w:t>provides</w:t>
      </w:r>
      <w:r w:rsidR="00F076AE" w:rsidRPr="007163F9">
        <w:rPr>
          <w:rFonts w:ascii="Times New Roman" w:hAnsi="Times New Roman" w:cs="Times New Roman"/>
          <w:sz w:val="24"/>
          <w:szCs w:val="24"/>
        </w:rPr>
        <w:t xml:space="preserve"> a hearsay exception for that record.</w:t>
      </w:r>
      <w:r w:rsidR="002E0904" w:rsidRPr="007163F9">
        <w:rPr>
          <w:rFonts w:ascii="Times New Roman" w:hAnsi="Times New Roman" w:cs="Times New Roman"/>
          <w:sz w:val="24"/>
          <w:szCs w:val="24"/>
        </w:rPr>
        <w:t xml:space="preserve"> </w:t>
      </w:r>
      <w:r w:rsidR="00A36584" w:rsidRPr="007163F9">
        <w:rPr>
          <w:rFonts w:ascii="Times New Roman" w:eastAsia="Times New Roman" w:hAnsi="Times New Roman" w:cs="Times New Roman"/>
          <w:sz w:val="24"/>
          <w:szCs w:val="24"/>
        </w:rPr>
        <w:t xml:space="preserve">While the record is </w:t>
      </w:r>
      <w:r w:rsidR="00D447BA" w:rsidRPr="007163F9">
        <w:rPr>
          <w:rFonts w:ascii="Times New Roman" w:eastAsia="Times New Roman" w:hAnsi="Times New Roman" w:cs="Times New Roman"/>
          <w:sz w:val="24"/>
          <w:szCs w:val="24"/>
        </w:rPr>
        <w:t xml:space="preserve">thus </w:t>
      </w:r>
      <w:r w:rsidR="00A36584" w:rsidRPr="007163F9">
        <w:rPr>
          <w:rFonts w:ascii="Times New Roman" w:eastAsia="Times New Roman" w:hAnsi="Times New Roman" w:cs="Times New Roman"/>
          <w:sz w:val="24"/>
          <w:szCs w:val="24"/>
        </w:rPr>
        <w:t xml:space="preserve">admissible and </w:t>
      </w:r>
      <w:r w:rsidR="00544098" w:rsidRPr="007163F9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A36584" w:rsidRPr="007163F9">
        <w:rPr>
          <w:rFonts w:ascii="Times New Roman" w:eastAsia="Times New Roman" w:hAnsi="Times New Roman" w:cs="Times New Roman"/>
          <w:sz w:val="24"/>
          <w:szCs w:val="24"/>
        </w:rPr>
        <w:t xml:space="preserve">“prima facie evidence” of conveyance and due execution, evidence </w:t>
      </w:r>
      <w:r w:rsidR="00C70034" w:rsidRPr="007163F9">
        <w:rPr>
          <w:rFonts w:ascii="Times New Roman" w:eastAsia="Times New Roman" w:hAnsi="Times New Roman" w:cs="Times New Roman"/>
          <w:sz w:val="24"/>
          <w:szCs w:val="24"/>
        </w:rPr>
        <w:t>may be introduced</w:t>
      </w:r>
      <w:r w:rsidR="00A36584" w:rsidRPr="007163F9">
        <w:rPr>
          <w:rFonts w:ascii="Times New Roman" w:eastAsia="Times New Roman" w:hAnsi="Times New Roman" w:cs="Times New Roman"/>
          <w:sz w:val="24"/>
          <w:szCs w:val="24"/>
        </w:rPr>
        <w:t xml:space="preserve"> to rebut th</w:t>
      </w:r>
      <w:r w:rsidR="00EC49E5" w:rsidRPr="007163F9">
        <w:rPr>
          <w:rFonts w:ascii="Times New Roman" w:eastAsia="Times New Roman" w:hAnsi="Times New Roman" w:cs="Times New Roman"/>
          <w:sz w:val="24"/>
          <w:szCs w:val="24"/>
        </w:rPr>
        <w:t>e accuracy</w:t>
      </w:r>
      <w:r w:rsidR="00584179" w:rsidRPr="007163F9">
        <w:rPr>
          <w:rFonts w:ascii="Times New Roman" w:eastAsia="Times New Roman" w:hAnsi="Times New Roman" w:cs="Times New Roman"/>
          <w:sz w:val="24"/>
          <w:szCs w:val="24"/>
        </w:rPr>
        <w:t xml:space="preserve"> of conveyance and due execution</w:t>
      </w:r>
      <w:r w:rsidR="00EC49E5" w:rsidRPr="00716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584" w:rsidRPr="007163F9">
        <w:rPr>
          <w:rFonts w:ascii="Times New Roman" w:eastAsia="Times New Roman" w:hAnsi="Times New Roman" w:cs="Times New Roman"/>
          <w:sz w:val="24"/>
          <w:szCs w:val="24"/>
        </w:rPr>
        <w:t>or otherwise to affect the weight of the evidence.</w:t>
      </w:r>
      <w:r w:rsidR="00277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B7C" w:rsidRPr="007163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705DD1" w:rsidRPr="007163F9">
        <w:rPr>
          <w:rFonts w:ascii="Times New Roman" w:eastAsia="Times New Roman" w:hAnsi="Times New Roman" w:cs="Times New Roman"/>
          <w:i/>
          <w:iCs/>
          <w:sz w:val="24"/>
          <w:szCs w:val="24"/>
        </w:rPr>
        <w:t>Cf.</w:t>
      </w:r>
      <w:r w:rsidR="00705DD1" w:rsidRPr="00716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B7C" w:rsidRPr="007163F9">
        <w:rPr>
          <w:rFonts w:ascii="Times New Roman" w:eastAsia="Times New Roman" w:hAnsi="Times New Roman" w:cs="Times New Roman"/>
          <w:i/>
          <w:iCs/>
          <w:sz w:val="24"/>
          <w:szCs w:val="24"/>
        </w:rPr>
        <w:t>Knox Vil</w:t>
      </w:r>
      <w:r w:rsidR="009619C9" w:rsidRPr="007163F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E47B7C" w:rsidRPr="007163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Assoc. v Town of New Windsor</w:t>
      </w:r>
      <w:r w:rsidR="00E47B7C" w:rsidRPr="007163F9">
        <w:rPr>
          <w:rFonts w:ascii="Times New Roman" w:eastAsia="Times New Roman" w:hAnsi="Times New Roman" w:cs="Times New Roman"/>
          <w:sz w:val="24"/>
          <w:szCs w:val="24"/>
        </w:rPr>
        <w:t xml:space="preserve">, 219 AD2d 585, 586 [2d Dept 1995] </w:t>
      </w:r>
      <w:r w:rsidR="00EC49E5" w:rsidRPr="007163F9">
        <w:rPr>
          <w:rFonts w:ascii="Times New Roman" w:eastAsia="Times New Roman" w:hAnsi="Times New Roman" w:cs="Times New Roman"/>
          <w:sz w:val="24"/>
          <w:szCs w:val="24"/>
        </w:rPr>
        <w:t>[“the defendants overcame the presumption of accuracy afforded to the ancient documents produced by the plaintiff </w:t>
      </w:r>
      <w:r w:rsidR="00EC49E5" w:rsidRPr="007163F9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EC49E5" w:rsidRPr="007163F9">
        <w:rPr>
          <w:rFonts w:ascii="Times New Roman" w:eastAsia="Times New Roman" w:hAnsi="Times New Roman" w:cs="Times New Roman"/>
          <w:i/>
          <w:iCs/>
          <w:sz w:val="24"/>
          <w:szCs w:val="24"/>
        </w:rPr>
        <w:t>see,</w:t>
      </w:r>
      <w:r w:rsidR="00EC49E5" w:rsidRPr="007163F9">
        <w:rPr>
          <w:rFonts w:ascii="Times New Roman" w:eastAsia="Times New Roman" w:hAnsi="Times New Roman" w:cs="Times New Roman"/>
          <w:sz w:val="24"/>
          <w:szCs w:val="24"/>
        </w:rPr>
        <w:t> CPLR 4522</w:t>
      </w:r>
      <w:r w:rsidR="009619C9" w:rsidRPr="007163F9">
        <w:rPr>
          <w:rFonts w:ascii="Times New Roman" w:eastAsia="Times New Roman" w:hAnsi="Times New Roman" w:cs="Times New Roman"/>
          <w:sz w:val="24"/>
          <w:szCs w:val="24"/>
        </w:rPr>
        <w:t xml:space="preserve"> . . .</w:t>
      </w:r>
      <w:r w:rsidR="00EC49E5" w:rsidRPr="007163F9">
        <w:rPr>
          <w:rFonts w:ascii="Times New Roman" w:eastAsia="Times New Roman" w:hAnsi="Times New Roman" w:cs="Times New Roman"/>
          <w:sz w:val="24"/>
          <w:szCs w:val="24"/>
        </w:rPr>
        <w:t>)”]</w:t>
      </w:r>
      <w:r w:rsidR="00C3686F">
        <w:rPr>
          <w:rFonts w:ascii="Times New Roman" w:eastAsia="Times New Roman" w:hAnsi="Times New Roman" w:cs="Times New Roman"/>
          <w:sz w:val="24"/>
          <w:szCs w:val="24"/>
        </w:rPr>
        <w:t>;</w:t>
      </w:r>
      <w:r w:rsidR="006D235E" w:rsidRPr="00716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B7C" w:rsidRPr="007163F9">
        <w:rPr>
          <w:rFonts w:ascii="Times New Roman" w:eastAsia="Times New Roman" w:hAnsi="Times New Roman" w:cs="Times New Roman"/>
          <w:i/>
          <w:iCs/>
          <w:sz w:val="24"/>
          <w:szCs w:val="24"/>
        </w:rPr>
        <w:t>Berman v Golden</w:t>
      </w:r>
      <w:r w:rsidR="00E47B7C" w:rsidRPr="007163F9">
        <w:rPr>
          <w:rFonts w:ascii="Times New Roman" w:eastAsia="Times New Roman" w:hAnsi="Times New Roman" w:cs="Times New Roman"/>
          <w:sz w:val="24"/>
          <w:szCs w:val="24"/>
        </w:rPr>
        <w:t>, 131 AD2d 416, 417 [2d Dept 1987]</w:t>
      </w:r>
      <w:r w:rsidR="009619C9" w:rsidRPr="007163F9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29028C" w:rsidRPr="007163F9">
        <w:rPr>
          <w:rFonts w:ascii="Times New Roman" w:eastAsia="Times New Roman" w:hAnsi="Times New Roman" w:cs="Times New Roman"/>
          <w:sz w:val="24"/>
          <w:szCs w:val="24"/>
        </w:rPr>
        <w:t>indicating that the terminology “prima facie evidence” in CPLR 4522</w:t>
      </w:r>
      <w:r w:rsidR="0076698E" w:rsidRPr="00716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9C9" w:rsidRPr="007163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76698E" w:rsidRPr="007163F9">
        <w:rPr>
          <w:rFonts w:ascii="Times New Roman" w:eastAsia="Times New Roman" w:hAnsi="Times New Roman" w:cs="Times New Roman"/>
          <w:sz w:val="24"/>
          <w:szCs w:val="24"/>
        </w:rPr>
        <w:t>Ancient filed maps, surveys and records affecting real property</w:t>
      </w:r>
      <w:r w:rsidR="009619C9" w:rsidRPr="007163F9">
        <w:rPr>
          <w:rFonts w:ascii="Times New Roman" w:eastAsia="Times New Roman" w:hAnsi="Times New Roman" w:cs="Times New Roman"/>
          <w:sz w:val="24"/>
          <w:szCs w:val="24"/>
        </w:rPr>
        <w:t>)</w:t>
      </w:r>
      <w:r w:rsidR="00E6624F" w:rsidRPr="007163F9">
        <w:rPr>
          <w:rFonts w:ascii="Times New Roman" w:eastAsia="Times New Roman" w:hAnsi="Times New Roman" w:cs="Times New Roman"/>
          <w:sz w:val="24"/>
          <w:szCs w:val="24"/>
        </w:rPr>
        <w:t xml:space="preserve"> created a rebuttable presumption of the accuracy of the documents</w:t>
      </w:r>
      <w:r w:rsidR="009619C9" w:rsidRPr="007163F9">
        <w:rPr>
          <w:rFonts w:ascii="Times New Roman" w:eastAsia="Times New Roman" w:hAnsi="Times New Roman" w:cs="Times New Roman"/>
          <w:sz w:val="24"/>
          <w:szCs w:val="24"/>
        </w:rPr>
        <w:t>]</w:t>
      </w:r>
      <w:r w:rsidR="006A6E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A6E19" w:rsidRPr="006A6E19">
        <w:rPr>
          <w:rFonts w:ascii="Times New Roman" w:eastAsia="Times New Roman" w:hAnsi="Times New Roman" w:cs="Times New Roman"/>
          <w:i/>
          <w:iCs/>
          <w:sz w:val="24"/>
          <w:szCs w:val="24"/>
        </w:rPr>
        <w:t>See</w:t>
      </w:r>
      <w:r w:rsidR="006A6E19" w:rsidRPr="006A6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E19" w:rsidRPr="006A6E1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Vincent C. Alexander, Practice Commentaries, McKinney’s Cons Laws of NY, Book 7B, CPLR </w:t>
      </w:r>
      <w:r w:rsidR="006A6E19" w:rsidRPr="006A6E19">
        <w:rPr>
          <w:rFonts w:ascii="Times New Roman" w:eastAsia="Times New Roman" w:hAnsi="Times New Roman" w:cs="Times New Roman"/>
          <w:sz w:val="24"/>
          <w:szCs w:val="24"/>
        </w:rPr>
        <w:t>C4518:9.)</w:t>
      </w:r>
    </w:p>
    <w:p w14:paraId="634732BE" w14:textId="04576749" w:rsidR="00412D4D" w:rsidRPr="007163F9" w:rsidRDefault="00412D4D" w:rsidP="007163F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12D4D" w:rsidRPr="007163F9" w:rsidSect="007163F9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yMLA0NDU2Nze3tDRQ0lEKTi0uzszPAykwrAUAbMU6siwAAAA="/>
  </w:docVars>
  <w:rsids>
    <w:rsidRoot w:val="00412D4D"/>
    <w:rsid w:val="000D7226"/>
    <w:rsid w:val="0012657F"/>
    <w:rsid w:val="00127198"/>
    <w:rsid w:val="00137DDD"/>
    <w:rsid w:val="002138EE"/>
    <w:rsid w:val="00277BB0"/>
    <w:rsid w:val="0029028C"/>
    <w:rsid w:val="002E0549"/>
    <w:rsid w:val="002E0904"/>
    <w:rsid w:val="00312CE2"/>
    <w:rsid w:val="003A2D08"/>
    <w:rsid w:val="003B0565"/>
    <w:rsid w:val="003B275F"/>
    <w:rsid w:val="00412D4D"/>
    <w:rsid w:val="004425FB"/>
    <w:rsid w:val="00453EF4"/>
    <w:rsid w:val="00455946"/>
    <w:rsid w:val="0045734D"/>
    <w:rsid w:val="004B587A"/>
    <w:rsid w:val="00544098"/>
    <w:rsid w:val="00584179"/>
    <w:rsid w:val="00586F6F"/>
    <w:rsid w:val="005B28D6"/>
    <w:rsid w:val="005E2D65"/>
    <w:rsid w:val="006A6E19"/>
    <w:rsid w:val="006C3FED"/>
    <w:rsid w:val="006C43DE"/>
    <w:rsid w:val="006D1822"/>
    <w:rsid w:val="006D235E"/>
    <w:rsid w:val="006D7FB0"/>
    <w:rsid w:val="00705DD1"/>
    <w:rsid w:val="007163F9"/>
    <w:rsid w:val="007400AC"/>
    <w:rsid w:val="007530C1"/>
    <w:rsid w:val="0076698E"/>
    <w:rsid w:val="007679F6"/>
    <w:rsid w:val="00773F58"/>
    <w:rsid w:val="007A338A"/>
    <w:rsid w:val="007A714F"/>
    <w:rsid w:val="007F19AA"/>
    <w:rsid w:val="008672B9"/>
    <w:rsid w:val="008A249B"/>
    <w:rsid w:val="008E4FE0"/>
    <w:rsid w:val="009619C9"/>
    <w:rsid w:val="009F5231"/>
    <w:rsid w:val="00A258F8"/>
    <w:rsid w:val="00A36584"/>
    <w:rsid w:val="00A3677F"/>
    <w:rsid w:val="00A478A5"/>
    <w:rsid w:val="00A81D90"/>
    <w:rsid w:val="00AD33D1"/>
    <w:rsid w:val="00AD4D74"/>
    <w:rsid w:val="00AF27BD"/>
    <w:rsid w:val="00B35D68"/>
    <w:rsid w:val="00B6235A"/>
    <w:rsid w:val="00BC4842"/>
    <w:rsid w:val="00BE4F77"/>
    <w:rsid w:val="00C2422E"/>
    <w:rsid w:val="00C3686F"/>
    <w:rsid w:val="00C70034"/>
    <w:rsid w:val="00C844DA"/>
    <w:rsid w:val="00C87FB9"/>
    <w:rsid w:val="00CD27CD"/>
    <w:rsid w:val="00D11CAE"/>
    <w:rsid w:val="00D447BA"/>
    <w:rsid w:val="00D6199B"/>
    <w:rsid w:val="00D769E0"/>
    <w:rsid w:val="00E04A17"/>
    <w:rsid w:val="00E0503B"/>
    <w:rsid w:val="00E254F9"/>
    <w:rsid w:val="00E26C00"/>
    <w:rsid w:val="00E47B7C"/>
    <w:rsid w:val="00E50A65"/>
    <w:rsid w:val="00E62764"/>
    <w:rsid w:val="00E6624F"/>
    <w:rsid w:val="00E72946"/>
    <w:rsid w:val="00EC49E5"/>
    <w:rsid w:val="00ED5441"/>
    <w:rsid w:val="00EF1747"/>
    <w:rsid w:val="00F076AE"/>
    <w:rsid w:val="00F15500"/>
    <w:rsid w:val="00F51698"/>
    <w:rsid w:val="00F7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3FA1"/>
  <w15:chartTrackingRefBased/>
  <w15:docId w15:val="{7297BA94-A513-4EB4-AC6E-ADC952B9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B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8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7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45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71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39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07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370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78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66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55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Hutter</dc:creator>
  <cp:keywords/>
  <dc:description/>
  <cp:lastModifiedBy>Bill Donnino</cp:lastModifiedBy>
  <cp:revision>5</cp:revision>
  <dcterms:created xsi:type="dcterms:W3CDTF">2020-12-16T21:02:00Z</dcterms:created>
  <dcterms:modified xsi:type="dcterms:W3CDTF">2022-05-06T03:22:00Z</dcterms:modified>
</cp:coreProperties>
</file>