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AA33" w14:textId="3AEEC929" w:rsidR="00F55628" w:rsidRDefault="007143C8" w:rsidP="006B5489">
      <w:pPr>
        <w:widowControl w:val="0"/>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ED36AA">
        <w:rPr>
          <w:rFonts w:ascii="Times New Roman" w:hAnsi="Times New Roman" w:cs="Times New Roman"/>
          <w:b/>
          <w:bCs/>
          <w:sz w:val="28"/>
          <w:szCs w:val="28"/>
        </w:rPr>
        <w:t xml:space="preserve">31. </w:t>
      </w:r>
      <w:r w:rsidR="00F55628" w:rsidRPr="006B5489">
        <w:rPr>
          <w:rFonts w:ascii="Times New Roman" w:hAnsi="Times New Roman" w:cs="Times New Roman"/>
          <w:b/>
          <w:bCs/>
          <w:sz w:val="28"/>
          <w:szCs w:val="28"/>
        </w:rPr>
        <w:t xml:space="preserve"> Affidavit of </w:t>
      </w:r>
      <w:r w:rsidR="0024417A" w:rsidRPr="006B5489">
        <w:rPr>
          <w:rFonts w:ascii="Times New Roman" w:hAnsi="Times New Roman" w:cs="Times New Roman"/>
          <w:b/>
          <w:bCs/>
          <w:sz w:val="28"/>
          <w:szCs w:val="28"/>
        </w:rPr>
        <w:t>Service or Posting Notice by Person Unavailable at Trial</w:t>
      </w:r>
      <w:bookmarkStart w:id="0" w:name="co_anchor_I28259AA0256211DFB684CA4EDE250"/>
      <w:bookmarkStart w:id="1" w:name="co_anchor_I2825E8C1256211DFB684CA4EDE250"/>
      <w:bookmarkEnd w:id="0"/>
      <w:bookmarkEnd w:id="1"/>
      <w:r w:rsidR="00C960DA" w:rsidRPr="006B5489">
        <w:rPr>
          <w:rFonts w:ascii="Times New Roman" w:hAnsi="Times New Roman" w:cs="Times New Roman"/>
          <w:b/>
          <w:bCs/>
          <w:sz w:val="28"/>
          <w:szCs w:val="28"/>
        </w:rPr>
        <w:t xml:space="preserve"> </w:t>
      </w:r>
      <w:r w:rsidR="006A7749" w:rsidRPr="006B5489">
        <w:rPr>
          <w:rFonts w:ascii="Times New Roman" w:hAnsi="Times New Roman" w:cs="Times New Roman"/>
          <w:b/>
          <w:bCs/>
          <w:sz w:val="28"/>
          <w:szCs w:val="28"/>
        </w:rPr>
        <w:t>(</w:t>
      </w:r>
      <w:r w:rsidR="00C960DA" w:rsidRPr="006B5489">
        <w:rPr>
          <w:rFonts w:ascii="Times New Roman" w:hAnsi="Times New Roman" w:cs="Times New Roman"/>
          <w:b/>
          <w:bCs/>
          <w:sz w:val="28"/>
          <w:szCs w:val="28"/>
        </w:rPr>
        <w:t>CPLR 4531</w:t>
      </w:r>
      <w:r w:rsidR="006A7749" w:rsidRPr="006B5489">
        <w:rPr>
          <w:rFonts w:ascii="Times New Roman" w:hAnsi="Times New Roman" w:cs="Times New Roman"/>
          <w:b/>
          <w:bCs/>
          <w:sz w:val="28"/>
          <w:szCs w:val="28"/>
        </w:rPr>
        <w:t>)</w:t>
      </w:r>
    </w:p>
    <w:p w14:paraId="0910695F" w14:textId="77777777" w:rsidR="006B5489" w:rsidRPr="006B5489" w:rsidRDefault="006B5489" w:rsidP="006B5489">
      <w:pPr>
        <w:widowControl w:val="0"/>
        <w:autoSpaceDE w:val="0"/>
        <w:autoSpaceDN w:val="0"/>
        <w:adjustRightInd w:val="0"/>
        <w:spacing w:after="0" w:line="240" w:lineRule="auto"/>
        <w:ind w:left="100" w:right="100"/>
        <w:jc w:val="both"/>
        <w:rPr>
          <w:rFonts w:ascii="Times New Roman" w:hAnsi="Times New Roman" w:cs="Times New Roman"/>
          <w:b/>
          <w:bCs/>
          <w:sz w:val="28"/>
          <w:szCs w:val="28"/>
        </w:rPr>
      </w:pPr>
    </w:p>
    <w:p w14:paraId="4DFD81F5" w14:textId="2E3760FD" w:rsidR="005773DF" w:rsidRDefault="00F55628" w:rsidP="006B5489">
      <w:pPr>
        <w:widowControl w:val="0"/>
        <w:autoSpaceDE w:val="0"/>
        <w:autoSpaceDN w:val="0"/>
        <w:adjustRightInd w:val="0"/>
        <w:spacing w:after="0" w:line="240" w:lineRule="auto"/>
        <w:ind w:left="720" w:right="720"/>
        <w:jc w:val="both"/>
        <w:rPr>
          <w:rFonts w:ascii="Times New Roman" w:hAnsi="Times New Roman" w:cs="Times New Roman"/>
          <w:b/>
          <w:bCs/>
          <w:sz w:val="28"/>
          <w:szCs w:val="28"/>
        </w:rPr>
      </w:pPr>
      <w:r w:rsidRPr="006B5489">
        <w:rPr>
          <w:rFonts w:ascii="Times New Roman" w:hAnsi="Times New Roman" w:cs="Times New Roman"/>
          <w:b/>
          <w:bCs/>
          <w:sz w:val="28"/>
          <w:szCs w:val="28"/>
        </w:rPr>
        <w:t>An affidavit by a person who served, posted or affixed a notice, showing such service, posting or affixing is prima facie evidence of the service, posting or affixing if the affiant is dead, mentally ill or cannot be compelled with due diligence to attend at the trial.</w:t>
      </w:r>
    </w:p>
    <w:p w14:paraId="1D90973D" w14:textId="77777777" w:rsidR="006B5489" w:rsidRPr="006B5489" w:rsidRDefault="006B5489" w:rsidP="006B5489">
      <w:pPr>
        <w:widowControl w:val="0"/>
        <w:autoSpaceDE w:val="0"/>
        <w:autoSpaceDN w:val="0"/>
        <w:adjustRightInd w:val="0"/>
        <w:spacing w:after="0" w:line="240" w:lineRule="auto"/>
        <w:ind w:left="720" w:right="720"/>
        <w:jc w:val="both"/>
        <w:rPr>
          <w:rFonts w:ascii="Times New Roman" w:hAnsi="Times New Roman" w:cs="Times New Roman"/>
          <w:b/>
          <w:bCs/>
          <w:sz w:val="28"/>
          <w:szCs w:val="28"/>
        </w:rPr>
      </w:pPr>
    </w:p>
    <w:p w14:paraId="7820C638" w14:textId="4F06C405" w:rsidR="00F55628" w:rsidRDefault="00F55628" w:rsidP="006B5489">
      <w:pPr>
        <w:widowControl w:val="0"/>
        <w:autoSpaceDE w:val="0"/>
        <w:autoSpaceDN w:val="0"/>
        <w:adjustRightInd w:val="0"/>
        <w:spacing w:after="0" w:line="240" w:lineRule="auto"/>
        <w:jc w:val="center"/>
        <w:rPr>
          <w:rFonts w:ascii="Times New Roman" w:hAnsi="Times New Roman" w:cs="Times New Roman"/>
          <w:b/>
          <w:bCs/>
          <w:sz w:val="28"/>
          <w:szCs w:val="28"/>
        </w:rPr>
      </w:pPr>
      <w:r w:rsidRPr="006B5489">
        <w:rPr>
          <w:rFonts w:ascii="Times New Roman" w:hAnsi="Times New Roman" w:cs="Times New Roman"/>
          <w:b/>
          <w:bCs/>
          <w:sz w:val="28"/>
          <w:szCs w:val="28"/>
        </w:rPr>
        <w:t>N</w:t>
      </w:r>
      <w:r w:rsidR="005773DF" w:rsidRPr="006B5489">
        <w:rPr>
          <w:rFonts w:ascii="Times New Roman" w:hAnsi="Times New Roman" w:cs="Times New Roman"/>
          <w:b/>
          <w:bCs/>
          <w:sz w:val="28"/>
          <w:szCs w:val="28"/>
        </w:rPr>
        <w:t>ote</w:t>
      </w:r>
    </w:p>
    <w:p w14:paraId="519ACAE2" w14:textId="77777777" w:rsidR="006B5489" w:rsidRPr="006B5489" w:rsidRDefault="006B5489" w:rsidP="006B5489">
      <w:pPr>
        <w:widowControl w:val="0"/>
        <w:autoSpaceDE w:val="0"/>
        <w:autoSpaceDN w:val="0"/>
        <w:adjustRightInd w:val="0"/>
        <w:spacing w:after="0" w:line="240" w:lineRule="auto"/>
        <w:rPr>
          <w:rFonts w:ascii="Times New Roman" w:hAnsi="Times New Roman" w:cs="Times New Roman"/>
          <w:b/>
          <w:bCs/>
          <w:sz w:val="24"/>
          <w:szCs w:val="24"/>
        </w:rPr>
      </w:pPr>
    </w:p>
    <w:p w14:paraId="10AF12B4" w14:textId="345DBB70" w:rsidR="00D64906" w:rsidRPr="006B5489" w:rsidRDefault="006B5489" w:rsidP="009A04A0">
      <w:pPr>
        <w:widowControl w:val="0"/>
        <w:tabs>
          <w:tab w:val="left" w:pos="720"/>
        </w:tabs>
        <w:autoSpaceDE w:val="0"/>
        <w:autoSpaceDN w:val="0"/>
        <w:adjustRightInd w:val="0"/>
        <w:spacing w:after="0" w:line="276" w:lineRule="auto"/>
        <w:jc w:val="both"/>
        <w:rPr>
          <w:rFonts w:ascii="Times New Roman" w:hAnsi="Times New Roman" w:cs="Times New Roman"/>
          <w:bCs/>
          <w:sz w:val="24"/>
          <w:szCs w:val="24"/>
        </w:rPr>
      </w:pPr>
      <w:r w:rsidRPr="006B5489">
        <w:rPr>
          <w:rFonts w:ascii="Times New Roman" w:hAnsi="Times New Roman" w:cs="Times New Roman"/>
          <w:bCs/>
          <w:sz w:val="24"/>
          <w:szCs w:val="24"/>
        </w:rPr>
        <w:tab/>
      </w:r>
      <w:r w:rsidR="005120F0" w:rsidRPr="006B5489">
        <w:rPr>
          <w:rFonts w:ascii="Times New Roman" w:hAnsi="Times New Roman" w:cs="Times New Roman"/>
          <w:bCs/>
          <w:sz w:val="24"/>
          <w:szCs w:val="24"/>
        </w:rPr>
        <w:t>This rule restates verbatim CPLR 4531.</w:t>
      </w:r>
    </w:p>
    <w:p w14:paraId="5C35AC46" w14:textId="77777777" w:rsidR="006B5489" w:rsidRPr="006B5489" w:rsidRDefault="006B5489" w:rsidP="009A04A0">
      <w:pPr>
        <w:widowControl w:val="0"/>
        <w:autoSpaceDE w:val="0"/>
        <w:autoSpaceDN w:val="0"/>
        <w:adjustRightInd w:val="0"/>
        <w:spacing w:after="0" w:line="276" w:lineRule="auto"/>
        <w:jc w:val="both"/>
        <w:rPr>
          <w:rFonts w:ascii="Times New Roman" w:hAnsi="Times New Roman" w:cs="Times New Roman"/>
          <w:bCs/>
          <w:sz w:val="24"/>
          <w:szCs w:val="24"/>
        </w:rPr>
      </w:pPr>
    </w:p>
    <w:p w14:paraId="17C1D821" w14:textId="5A889B7B" w:rsidR="00CC475B" w:rsidRPr="006B5489" w:rsidRDefault="006B5489" w:rsidP="009A04A0">
      <w:pPr>
        <w:widowControl w:val="0"/>
        <w:tabs>
          <w:tab w:val="left" w:pos="720"/>
        </w:tabs>
        <w:autoSpaceDE w:val="0"/>
        <w:autoSpaceDN w:val="0"/>
        <w:adjustRightInd w:val="0"/>
        <w:spacing w:after="0" w:line="276" w:lineRule="auto"/>
        <w:jc w:val="both"/>
        <w:rPr>
          <w:rFonts w:ascii="Times New Roman" w:hAnsi="Times New Roman" w:cs="Times New Roman"/>
          <w:bCs/>
          <w:sz w:val="24"/>
          <w:szCs w:val="24"/>
        </w:rPr>
      </w:pPr>
      <w:r w:rsidRPr="006B5489">
        <w:rPr>
          <w:rFonts w:ascii="Times New Roman" w:hAnsi="Times New Roman" w:cs="Times New Roman"/>
          <w:bCs/>
          <w:sz w:val="24"/>
          <w:szCs w:val="24"/>
        </w:rPr>
        <w:tab/>
      </w:r>
      <w:r w:rsidR="000F5387" w:rsidRPr="006B5489">
        <w:rPr>
          <w:rFonts w:ascii="Times New Roman" w:hAnsi="Times New Roman" w:cs="Times New Roman"/>
          <w:bCs/>
          <w:sz w:val="24"/>
          <w:szCs w:val="24"/>
        </w:rPr>
        <w:t>The statute provides that an</w:t>
      </w:r>
      <w:r w:rsidR="005120F0" w:rsidRPr="006B5489">
        <w:rPr>
          <w:rFonts w:ascii="Times New Roman" w:hAnsi="Times New Roman" w:cs="Times New Roman"/>
          <w:bCs/>
          <w:sz w:val="24"/>
          <w:szCs w:val="24"/>
        </w:rPr>
        <w:t xml:space="preserve"> affidavit of a person who has served, posted</w:t>
      </w:r>
      <w:r w:rsidR="007C7EA3" w:rsidRPr="006B5489">
        <w:rPr>
          <w:rFonts w:ascii="Times New Roman" w:hAnsi="Times New Roman" w:cs="Times New Roman"/>
          <w:bCs/>
          <w:sz w:val="24"/>
          <w:szCs w:val="24"/>
        </w:rPr>
        <w:t>,</w:t>
      </w:r>
      <w:r w:rsidR="005120F0" w:rsidRPr="006B5489">
        <w:rPr>
          <w:rFonts w:ascii="Times New Roman" w:hAnsi="Times New Roman" w:cs="Times New Roman"/>
          <w:bCs/>
          <w:sz w:val="24"/>
          <w:szCs w:val="24"/>
        </w:rPr>
        <w:t xml:space="preserve"> or affixed</w:t>
      </w:r>
      <w:r w:rsidR="00B7067A" w:rsidRPr="006B5489">
        <w:rPr>
          <w:rFonts w:ascii="Times New Roman" w:hAnsi="Times New Roman" w:cs="Times New Roman"/>
          <w:bCs/>
          <w:sz w:val="24"/>
          <w:szCs w:val="24"/>
        </w:rPr>
        <w:t xml:space="preserve"> a notice, which shows such service, posting or affixing</w:t>
      </w:r>
      <w:r w:rsidR="009C7215" w:rsidRPr="006B5489">
        <w:rPr>
          <w:rFonts w:ascii="Times New Roman" w:hAnsi="Times New Roman" w:cs="Times New Roman"/>
          <w:bCs/>
          <w:sz w:val="24"/>
          <w:szCs w:val="24"/>
        </w:rPr>
        <w:t xml:space="preserve">, </w:t>
      </w:r>
      <w:r w:rsidR="00733FCD" w:rsidRPr="006B5489">
        <w:rPr>
          <w:rFonts w:ascii="Times New Roman" w:hAnsi="Times New Roman" w:cs="Times New Roman"/>
          <w:bCs/>
          <w:sz w:val="24"/>
          <w:szCs w:val="24"/>
        </w:rPr>
        <w:t>is prima facie evidence of the service, posting, or affixing</w:t>
      </w:r>
      <w:r w:rsidR="00DB1C89">
        <w:rPr>
          <w:rFonts w:ascii="Times New Roman" w:hAnsi="Times New Roman" w:cs="Times New Roman"/>
          <w:bCs/>
          <w:sz w:val="24"/>
          <w:szCs w:val="24"/>
        </w:rPr>
        <w:t xml:space="preserve"> </w:t>
      </w:r>
      <w:r w:rsidR="009C7215" w:rsidRPr="006B5489">
        <w:rPr>
          <w:rFonts w:ascii="Times New Roman" w:hAnsi="Times New Roman" w:cs="Times New Roman"/>
          <w:bCs/>
          <w:sz w:val="24"/>
          <w:szCs w:val="24"/>
        </w:rPr>
        <w:t>when that person is deceased, mentally ill or cannot be compelled with due diligence to testify at a trial.</w:t>
      </w:r>
    </w:p>
    <w:p w14:paraId="4BB0396E" w14:textId="77777777" w:rsidR="006B5489" w:rsidRPr="006B5489" w:rsidRDefault="006B5489" w:rsidP="009A04A0">
      <w:pPr>
        <w:widowControl w:val="0"/>
        <w:tabs>
          <w:tab w:val="left" w:pos="720"/>
        </w:tabs>
        <w:autoSpaceDE w:val="0"/>
        <w:autoSpaceDN w:val="0"/>
        <w:adjustRightInd w:val="0"/>
        <w:spacing w:after="0" w:line="276" w:lineRule="auto"/>
        <w:jc w:val="both"/>
        <w:rPr>
          <w:rFonts w:ascii="Times New Roman" w:hAnsi="Times New Roman" w:cs="Times New Roman"/>
          <w:bCs/>
          <w:sz w:val="24"/>
          <w:szCs w:val="24"/>
        </w:rPr>
      </w:pPr>
    </w:p>
    <w:p w14:paraId="6530C819" w14:textId="46B47EB3" w:rsidR="00CC475B" w:rsidRPr="006B5489" w:rsidRDefault="006B5489" w:rsidP="009A04A0">
      <w:pPr>
        <w:widowControl w:val="0"/>
        <w:tabs>
          <w:tab w:val="left" w:pos="720"/>
        </w:tabs>
        <w:autoSpaceDE w:val="0"/>
        <w:autoSpaceDN w:val="0"/>
        <w:adjustRightInd w:val="0"/>
        <w:spacing w:after="0" w:line="276" w:lineRule="auto"/>
        <w:jc w:val="both"/>
        <w:rPr>
          <w:rFonts w:ascii="Times New Roman" w:hAnsi="Times New Roman" w:cs="Times New Roman"/>
          <w:bCs/>
          <w:sz w:val="24"/>
          <w:szCs w:val="24"/>
        </w:rPr>
      </w:pPr>
      <w:r w:rsidRPr="006B5489">
        <w:rPr>
          <w:rFonts w:ascii="Times New Roman" w:hAnsi="Times New Roman" w:cs="Times New Roman"/>
          <w:bCs/>
          <w:sz w:val="24"/>
          <w:szCs w:val="24"/>
        </w:rPr>
        <w:tab/>
      </w:r>
      <w:r w:rsidR="007167B2" w:rsidRPr="006B5489">
        <w:rPr>
          <w:rFonts w:ascii="Times New Roman" w:hAnsi="Times New Roman" w:cs="Times New Roman"/>
          <w:bCs/>
          <w:sz w:val="24"/>
          <w:szCs w:val="24"/>
        </w:rPr>
        <w:t xml:space="preserve">The specified “notice” includes all forms of judicial process </w:t>
      </w:r>
      <w:r w:rsidR="00FF79AB" w:rsidRPr="006B5489">
        <w:rPr>
          <w:rFonts w:ascii="Times New Roman" w:hAnsi="Times New Roman" w:cs="Times New Roman"/>
          <w:bCs/>
          <w:sz w:val="24"/>
          <w:szCs w:val="24"/>
        </w:rPr>
        <w:t>(</w:t>
      </w:r>
      <w:r w:rsidR="00091F15" w:rsidRPr="00091F15">
        <w:rPr>
          <w:rFonts w:ascii="Times New Roman" w:hAnsi="Times New Roman" w:cs="Times New Roman"/>
          <w:bCs/>
          <w:i/>
          <w:sz w:val="24"/>
          <w:szCs w:val="24"/>
        </w:rPr>
        <w:t>s</w:t>
      </w:r>
      <w:r w:rsidR="00FF79AB" w:rsidRPr="006B5489">
        <w:rPr>
          <w:rFonts w:ascii="Times New Roman" w:hAnsi="Times New Roman" w:cs="Times New Roman"/>
          <w:bCs/>
          <w:i/>
          <w:sz w:val="24"/>
          <w:szCs w:val="24"/>
        </w:rPr>
        <w:t>ee</w:t>
      </w:r>
      <w:r w:rsidR="00FF79AB" w:rsidRPr="006B5489">
        <w:rPr>
          <w:rFonts w:ascii="Times New Roman" w:hAnsi="Times New Roman" w:cs="Times New Roman"/>
          <w:bCs/>
          <w:sz w:val="24"/>
          <w:szCs w:val="24"/>
        </w:rPr>
        <w:t xml:space="preserve"> </w:t>
      </w:r>
      <w:r w:rsidR="00FF79AB" w:rsidRPr="006B5489">
        <w:rPr>
          <w:rFonts w:ascii="Times New Roman" w:hAnsi="Times New Roman" w:cs="Times New Roman"/>
          <w:bCs/>
          <w:i/>
          <w:sz w:val="24"/>
          <w:szCs w:val="24"/>
        </w:rPr>
        <w:t>Gordon v Nemeroff Realty Corp</w:t>
      </w:r>
      <w:r w:rsidR="00FF79AB" w:rsidRPr="006B5489">
        <w:rPr>
          <w:rFonts w:ascii="Times New Roman" w:hAnsi="Times New Roman" w:cs="Times New Roman"/>
          <w:bCs/>
          <w:sz w:val="24"/>
          <w:szCs w:val="24"/>
        </w:rPr>
        <w:t>., 139 AD2d 492, 492 [2d Dept 1988]</w:t>
      </w:r>
      <w:r w:rsidR="00DE0300">
        <w:rPr>
          <w:rFonts w:ascii="Times New Roman" w:hAnsi="Times New Roman" w:cs="Times New Roman"/>
          <w:bCs/>
          <w:sz w:val="24"/>
          <w:szCs w:val="24"/>
        </w:rPr>
        <w:t xml:space="preserve"> </w:t>
      </w:r>
      <w:r w:rsidR="00FF79AB" w:rsidRPr="006B5489">
        <w:rPr>
          <w:rFonts w:ascii="Times New Roman" w:hAnsi="Times New Roman" w:cs="Times New Roman"/>
          <w:bCs/>
          <w:sz w:val="24"/>
          <w:szCs w:val="24"/>
        </w:rPr>
        <w:t>[“</w:t>
      </w:r>
      <w:r w:rsidR="00FF79AB" w:rsidRPr="006B5489">
        <w:rPr>
          <w:rFonts w:ascii="Times New Roman" w:hAnsi="Times New Roman" w:cs="Times New Roman"/>
          <w:sz w:val="24"/>
          <w:szCs w:val="24"/>
          <w:shd w:val="clear" w:color="auto" w:fill="FFFFFF"/>
        </w:rPr>
        <w:t xml:space="preserve">Pursuant to both statutory and decisional law, where a process server dies after service and prior to a hearing as to whether service was properly effected, his affidavit of service </w:t>
      </w:r>
      <w:r w:rsidR="008D4435">
        <w:rPr>
          <w:rFonts w:ascii="Times New Roman" w:hAnsi="Times New Roman" w:cs="Times New Roman"/>
          <w:sz w:val="24"/>
          <w:szCs w:val="24"/>
          <w:shd w:val="clear" w:color="auto" w:fill="FFFFFF"/>
        </w:rPr>
        <w:t>(</w:t>
      </w:r>
      <w:r w:rsidR="001A1035" w:rsidRPr="006B5489">
        <w:rPr>
          <w:rFonts w:ascii="Times New Roman" w:hAnsi="Times New Roman" w:cs="Times New Roman"/>
          <w:sz w:val="24"/>
          <w:szCs w:val="24"/>
          <w:shd w:val="clear" w:color="auto" w:fill="FFFFFF"/>
        </w:rPr>
        <w:t>in this case of a summons and complaint</w:t>
      </w:r>
      <w:r w:rsidR="001C2C4B">
        <w:rPr>
          <w:rFonts w:ascii="Times New Roman" w:hAnsi="Times New Roman" w:cs="Times New Roman"/>
          <w:sz w:val="24"/>
          <w:szCs w:val="24"/>
          <w:shd w:val="clear" w:color="auto" w:fill="FFFFFF"/>
        </w:rPr>
        <w:t xml:space="preserve">) </w:t>
      </w:r>
      <w:r w:rsidR="00FF79AB" w:rsidRPr="006B5489">
        <w:rPr>
          <w:rFonts w:ascii="Times New Roman" w:hAnsi="Times New Roman" w:cs="Times New Roman"/>
          <w:sz w:val="24"/>
          <w:szCs w:val="24"/>
          <w:shd w:val="clear" w:color="auto" w:fill="FFFFFF"/>
        </w:rPr>
        <w:t>shall be received as prima facie evidence of service provided it is not conclusory and devoid of sufficient detail</w:t>
      </w:r>
      <w:r w:rsidR="00AE3E7C" w:rsidRPr="006B5489">
        <w:rPr>
          <w:rFonts w:ascii="Times New Roman" w:hAnsi="Times New Roman" w:cs="Times New Roman"/>
          <w:sz w:val="24"/>
          <w:szCs w:val="24"/>
          <w:shd w:val="clear" w:color="auto" w:fill="FFFFFF"/>
        </w:rPr>
        <w:t>”</w:t>
      </w:r>
      <w:r w:rsidR="00F53316" w:rsidRPr="006B5489">
        <w:rPr>
          <w:rFonts w:ascii="Times New Roman" w:hAnsi="Times New Roman" w:cs="Times New Roman"/>
          <w:sz w:val="24"/>
          <w:szCs w:val="24"/>
          <w:shd w:val="clear" w:color="auto" w:fill="FFFFFF"/>
        </w:rPr>
        <w:t xml:space="preserve">]; </w:t>
      </w:r>
      <w:r w:rsidR="0040217B" w:rsidRPr="006B5489">
        <w:rPr>
          <w:rFonts w:ascii="Times New Roman" w:hAnsi="Times New Roman" w:cs="Times New Roman"/>
          <w:i/>
          <w:iCs/>
          <w:sz w:val="24"/>
          <w:szCs w:val="24"/>
          <w:shd w:val="clear" w:color="auto" w:fill="FFFFFF"/>
        </w:rPr>
        <w:t>Laurenzano v Laurenzano</w:t>
      </w:r>
      <w:r w:rsidR="0040217B" w:rsidRPr="006B5489">
        <w:rPr>
          <w:rFonts w:ascii="Times New Roman" w:hAnsi="Times New Roman" w:cs="Times New Roman"/>
          <w:sz w:val="24"/>
          <w:szCs w:val="24"/>
          <w:shd w:val="clear" w:color="auto" w:fill="FFFFFF"/>
        </w:rPr>
        <w:t xml:space="preserve">, 222 AD2d 560, 561 [2d Dept 1995] </w:t>
      </w:r>
      <w:r w:rsidR="006A515C" w:rsidRPr="006B5489">
        <w:rPr>
          <w:rFonts w:ascii="Times New Roman" w:hAnsi="Times New Roman" w:cs="Times New Roman"/>
          <w:sz w:val="24"/>
          <w:szCs w:val="24"/>
          <w:shd w:val="clear" w:color="auto" w:fill="FFFFFF"/>
        </w:rPr>
        <w:t xml:space="preserve">[due diligence </w:t>
      </w:r>
      <w:r w:rsidR="007867FD" w:rsidRPr="006B5489">
        <w:rPr>
          <w:rFonts w:ascii="Times New Roman" w:hAnsi="Times New Roman" w:cs="Times New Roman"/>
          <w:sz w:val="24"/>
          <w:szCs w:val="24"/>
          <w:shd w:val="clear" w:color="auto" w:fill="FFFFFF"/>
        </w:rPr>
        <w:t xml:space="preserve">was </w:t>
      </w:r>
      <w:r w:rsidR="006A515C" w:rsidRPr="006B5489">
        <w:rPr>
          <w:rFonts w:ascii="Times New Roman" w:hAnsi="Times New Roman" w:cs="Times New Roman"/>
          <w:sz w:val="24"/>
          <w:szCs w:val="24"/>
          <w:shd w:val="clear" w:color="auto" w:fill="FFFFFF"/>
        </w:rPr>
        <w:t xml:space="preserve">established in </w:t>
      </w:r>
      <w:r w:rsidR="00CC475B" w:rsidRPr="006B5489">
        <w:rPr>
          <w:rFonts w:ascii="Times New Roman" w:hAnsi="Times New Roman" w:cs="Times New Roman"/>
          <w:sz w:val="24"/>
          <w:szCs w:val="24"/>
          <w:shd w:val="clear" w:color="auto" w:fill="FFFFFF"/>
        </w:rPr>
        <w:t xml:space="preserve">an </w:t>
      </w:r>
      <w:r w:rsidR="006A515C" w:rsidRPr="006B5489">
        <w:rPr>
          <w:rFonts w:ascii="Times New Roman" w:hAnsi="Times New Roman" w:cs="Times New Roman"/>
          <w:sz w:val="24"/>
          <w:szCs w:val="24"/>
          <w:shd w:val="clear" w:color="auto" w:fill="FFFFFF"/>
        </w:rPr>
        <w:t xml:space="preserve">attempt to locate </w:t>
      </w:r>
      <w:r w:rsidR="00084C98" w:rsidRPr="006B5489">
        <w:rPr>
          <w:rFonts w:ascii="Times New Roman" w:hAnsi="Times New Roman" w:cs="Times New Roman"/>
          <w:sz w:val="24"/>
          <w:szCs w:val="24"/>
          <w:shd w:val="clear" w:color="auto" w:fill="FFFFFF"/>
        </w:rPr>
        <w:t xml:space="preserve">the </w:t>
      </w:r>
      <w:r w:rsidR="006A515C" w:rsidRPr="006B5489">
        <w:rPr>
          <w:rFonts w:ascii="Times New Roman" w:hAnsi="Times New Roman" w:cs="Times New Roman"/>
          <w:sz w:val="24"/>
          <w:szCs w:val="24"/>
          <w:shd w:val="clear" w:color="auto" w:fill="FFFFFF"/>
        </w:rPr>
        <w:t>process server, allowing</w:t>
      </w:r>
      <w:r w:rsidR="00EE4C71" w:rsidRPr="006B5489">
        <w:rPr>
          <w:rFonts w:ascii="Times New Roman" w:hAnsi="Times New Roman" w:cs="Times New Roman"/>
          <w:sz w:val="24"/>
          <w:szCs w:val="24"/>
          <w:shd w:val="clear" w:color="auto" w:fill="FFFFFF"/>
        </w:rPr>
        <w:t xml:space="preserve"> for the</w:t>
      </w:r>
      <w:r w:rsidR="006A515C" w:rsidRPr="006B5489">
        <w:rPr>
          <w:rFonts w:ascii="Times New Roman" w:hAnsi="Times New Roman" w:cs="Times New Roman"/>
          <w:sz w:val="24"/>
          <w:szCs w:val="24"/>
          <w:shd w:val="clear" w:color="auto" w:fill="FFFFFF"/>
        </w:rPr>
        <w:t xml:space="preserve"> use of </w:t>
      </w:r>
      <w:r w:rsidR="000C4C5A" w:rsidRPr="006B5489">
        <w:rPr>
          <w:rFonts w:ascii="Times New Roman" w:hAnsi="Times New Roman" w:cs="Times New Roman"/>
          <w:sz w:val="24"/>
          <w:szCs w:val="24"/>
          <w:shd w:val="clear" w:color="auto" w:fill="FFFFFF"/>
        </w:rPr>
        <w:t>the</w:t>
      </w:r>
      <w:r w:rsidR="006A515C" w:rsidRPr="006B5489">
        <w:rPr>
          <w:rFonts w:ascii="Times New Roman" w:hAnsi="Times New Roman" w:cs="Times New Roman"/>
          <w:sz w:val="24"/>
          <w:szCs w:val="24"/>
          <w:shd w:val="clear" w:color="auto" w:fill="FFFFFF"/>
        </w:rPr>
        <w:t xml:space="preserve"> affidavit of service</w:t>
      </w:r>
      <w:r w:rsidR="00F34278" w:rsidRPr="006B5489">
        <w:rPr>
          <w:rFonts w:ascii="Times New Roman" w:hAnsi="Times New Roman" w:cs="Times New Roman"/>
          <w:sz w:val="24"/>
          <w:szCs w:val="24"/>
          <w:shd w:val="clear" w:color="auto" w:fill="FFFFFF"/>
        </w:rPr>
        <w:t xml:space="preserve"> </w:t>
      </w:r>
      <w:r w:rsidR="000D7536" w:rsidRPr="006B5489">
        <w:rPr>
          <w:rFonts w:ascii="Times New Roman" w:hAnsi="Times New Roman" w:cs="Times New Roman"/>
          <w:sz w:val="24"/>
          <w:szCs w:val="24"/>
          <w:shd w:val="clear" w:color="auto" w:fill="FFFFFF"/>
        </w:rPr>
        <w:t>t</w:t>
      </w:r>
      <w:r w:rsidR="00F34278" w:rsidRPr="006B5489">
        <w:rPr>
          <w:rFonts w:ascii="Times New Roman" w:hAnsi="Times New Roman" w:cs="Times New Roman"/>
          <w:sz w:val="24"/>
          <w:szCs w:val="24"/>
          <w:shd w:val="clear" w:color="auto" w:fill="FFFFFF"/>
        </w:rPr>
        <w:t>hat “contained ‘sufficient factual detail’</w:t>
      </w:r>
      <w:r w:rsidR="006A7749" w:rsidRPr="006B5489">
        <w:rPr>
          <w:rFonts w:ascii="Times New Roman" w:hAnsi="Times New Roman" w:cs="Times New Roman"/>
          <w:sz w:val="24"/>
          <w:szCs w:val="24"/>
          <w:shd w:val="clear" w:color="auto" w:fill="FFFFFF"/>
        </w:rPr>
        <w:t xml:space="preserve"> </w:t>
      </w:r>
      <w:r w:rsidR="00F34278" w:rsidRPr="006B5489">
        <w:rPr>
          <w:rFonts w:ascii="Times New Roman" w:hAnsi="Times New Roman" w:cs="Times New Roman"/>
          <w:sz w:val="24"/>
          <w:szCs w:val="24"/>
          <w:shd w:val="clear" w:color="auto" w:fill="FFFFFF"/>
        </w:rPr>
        <w:t>”</w:t>
      </w:r>
      <w:r w:rsidR="000D7536" w:rsidRPr="006B5489">
        <w:rPr>
          <w:rFonts w:ascii="Times New Roman" w:hAnsi="Times New Roman" w:cs="Times New Roman"/>
          <w:sz w:val="24"/>
          <w:szCs w:val="24"/>
          <w:shd w:val="clear" w:color="auto" w:fill="FFFFFF"/>
        </w:rPr>
        <w:t xml:space="preserve"> </w:t>
      </w:r>
      <w:r w:rsidR="006A515C" w:rsidRPr="006B5489">
        <w:rPr>
          <w:rFonts w:ascii="Times New Roman" w:hAnsi="Times New Roman" w:cs="Times New Roman"/>
          <w:sz w:val="24"/>
          <w:szCs w:val="24"/>
          <w:shd w:val="clear" w:color="auto" w:fill="FFFFFF"/>
        </w:rPr>
        <w:t>to establish service of summons and complaint]</w:t>
      </w:r>
      <w:r w:rsidR="009B77FB">
        <w:rPr>
          <w:rFonts w:ascii="Times New Roman" w:hAnsi="Times New Roman" w:cs="Times New Roman"/>
          <w:sz w:val="24"/>
          <w:szCs w:val="24"/>
          <w:shd w:val="clear" w:color="auto" w:fill="FFFFFF"/>
        </w:rPr>
        <w:t xml:space="preserve">). </w:t>
      </w:r>
    </w:p>
    <w:p w14:paraId="64163E21" w14:textId="77777777" w:rsidR="00B25A55" w:rsidRPr="006B5489" w:rsidRDefault="00B25A55" w:rsidP="009A04A0">
      <w:pPr>
        <w:widowControl w:val="0"/>
        <w:autoSpaceDE w:val="0"/>
        <w:autoSpaceDN w:val="0"/>
        <w:adjustRightInd w:val="0"/>
        <w:spacing w:after="0" w:line="276" w:lineRule="auto"/>
        <w:jc w:val="both"/>
        <w:rPr>
          <w:rFonts w:ascii="Times New Roman" w:eastAsia="Times New Roman" w:hAnsi="Times New Roman" w:cs="Times New Roman"/>
          <w:strike/>
          <w:sz w:val="24"/>
          <w:szCs w:val="24"/>
        </w:rPr>
      </w:pPr>
    </w:p>
    <w:p w14:paraId="7DBA9DAA" w14:textId="77777777" w:rsidR="007143C8" w:rsidRPr="007143C8" w:rsidRDefault="006B5489" w:rsidP="009A04A0">
      <w:pPr>
        <w:tabs>
          <w:tab w:val="left" w:pos="720"/>
        </w:tabs>
        <w:spacing w:after="0" w:line="276" w:lineRule="auto"/>
        <w:jc w:val="both"/>
        <w:rPr>
          <w:rFonts w:ascii="Times New Roman" w:eastAsia="Times New Roman" w:hAnsi="Times New Roman" w:cs="Times New Roman"/>
          <w:sz w:val="24"/>
          <w:szCs w:val="24"/>
        </w:rPr>
      </w:pPr>
      <w:r w:rsidRPr="006B5489">
        <w:rPr>
          <w:rFonts w:ascii="Times New Roman" w:eastAsiaTheme="minorHAnsi" w:hAnsi="Times New Roman" w:cs="Times New Roman"/>
          <w:sz w:val="24"/>
          <w:szCs w:val="24"/>
        </w:rPr>
        <w:tab/>
      </w:r>
      <w:r w:rsidR="00C03B5A" w:rsidRPr="006B5489">
        <w:rPr>
          <w:rFonts w:ascii="Times New Roman" w:eastAsiaTheme="minorHAnsi" w:hAnsi="Times New Roman" w:cs="Times New Roman"/>
          <w:sz w:val="24"/>
          <w:szCs w:val="24"/>
        </w:rPr>
        <w:t xml:space="preserve">By making the affidavit “prima facie” evidence of </w:t>
      </w:r>
      <w:r w:rsidR="00796B24" w:rsidRPr="006B5489">
        <w:rPr>
          <w:rFonts w:ascii="Times New Roman" w:eastAsiaTheme="minorHAnsi" w:hAnsi="Times New Roman" w:cs="Times New Roman"/>
          <w:sz w:val="24"/>
          <w:szCs w:val="24"/>
        </w:rPr>
        <w:t>service, posting, or affixing</w:t>
      </w:r>
      <w:r w:rsidR="00C03B5A" w:rsidRPr="006B5489">
        <w:rPr>
          <w:rFonts w:ascii="Times New Roman" w:eastAsiaTheme="minorHAnsi" w:hAnsi="Times New Roman" w:cs="Times New Roman"/>
          <w:sz w:val="24"/>
          <w:szCs w:val="24"/>
        </w:rPr>
        <w:t xml:space="preserve">, the statute thereby provides a hearsay exception for the admissibility of that </w:t>
      </w:r>
      <w:r w:rsidR="0003713E" w:rsidRPr="006B5489">
        <w:rPr>
          <w:rFonts w:ascii="Times New Roman" w:eastAsiaTheme="minorHAnsi" w:hAnsi="Times New Roman" w:cs="Times New Roman"/>
          <w:sz w:val="24"/>
          <w:szCs w:val="24"/>
        </w:rPr>
        <w:t>affidavit</w:t>
      </w:r>
      <w:r w:rsidR="00C03B5A" w:rsidRPr="006B5489">
        <w:rPr>
          <w:rFonts w:ascii="Times New Roman" w:eastAsiaTheme="minorHAnsi" w:hAnsi="Times New Roman" w:cs="Times New Roman"/>
          <w:sz w:val="24"/>
          <w:szCs w:val="24"/>
        </w:rPr>
        <w:t xml:space="preserve">. </w:t>
      </w:r>
      <w:r w:rsidR="00C03B5A" w:rsidRPr="006B5489">
        <w:rPr>
          <w:rFonts w:ascii="Times New Roman" w:eastAsia="Times New Roman" w:hAnsi="Times New Roman" w:cs="Times New Roman"/>
          <w:sz w:val="24"/>
          <w:szCs w:val="24"/>
        </w:rPr>
        <w:t xml:space="preserve">While the </w:t>
      </w:r>
      <w:r w:rsidR="0003713E" w:rsidRPr="006B5489">
        <w:rPr>
          <w:rFonts w:ascii="Times New Roman" w:eastAsia="Times New Roman" w:hAnsi="Times New Roman" w:cs="Times New Roman"/>
          <w:sz w:val="24"/>
          <w:szCs w:val="24"/>
        </w:rPr>
        <w:t>affidavit</w:t>
      </w:r>
      <w:r w:rsidR="00C03B5A" w:rsidRPr="006B5489">
        <w:rPr>
          <w:rFonts w:ascii="Times New Roman" w:eastAsia="Times New Roman" w:hAnsi="Times New Roman" w:cs="Times New Roman"/>
          <w:sz w:val="24"/>
          <w:szCs w:val="24"/>
        </w:rPr>
        <w:t xml:space="preserve"> is thus admissible and is “prima facie evidence” of the </w:t>
      </w:r>
      <w:r w:rsidR="003E3665" w:rsidRPr="006B5489">
        <w:rPr>
          <w:rFonts w:ascii="Times New Roman" w:eastAsia="Times New Roman" w:hAnsi="Times New Roman" w:cs="Times New Roman"/>
          <w:sz w:val="24"/>
          <w:szCs w:val="24"/>
        </w:rPr>
        <w:t>accuracy</w:t>
      </w:r>
      <w:r w:rsidR="00C03B5A" w:rsidRPr="006B5489">
        <w:rPr>
          <w:rFonts w:ascii="Times New Roman" w:eastAsia="Times New Roman" w:hAnsi="Times New Roman" w:cs="Times New Roman"/>
          <w:sz w:val="24"/>
          <w:szCs w:val="24"/>
        </w:rPr>
        <w:t xml:space="preserve"> of the</w:t>
      </w:r>
      <w:r w:rsidR="00A20521" w:rsidRPr="006B5489">
        <w:rPr>
          <w:rFonts w:ascii="Times New Roman" w:eastAsia="Times New Roman" w:hAnsi="Times New Roman" w:cs="Times New Roman"/>
          <w:sz w:val="24"/>
          <w:szCs w:val="24"/>
        </w:rPr>
        <w:t xml:space="preserve"> affidavit</w:t>
      </w:r>
      <w:r w:rsidR="0077162F" w:rsidRPr="006B5489">
        <w:rPr>
          <w:rFonts w:ascii="Times New Roman" w:eastAsia="Times New Roman" w:hAnsi="Times New Roman" w:cs="Times New Roman"/>
          <w:sz w:val="24"/>
          <w:szCs w:val="24"/>
        </w:rPr>
        <w:t xml:space="preserve"> of the</w:t>
      </w:r>
      <w:r w:rsidR="00C03B5A" w:rsidRPr="006B5489">
        <w:rPr>
          <w:rFonts w:ascii="Times New Roman" w:eastAsia="Times New Roman" w:hAnsi="Times New Roman" w:cs="Times New Roman"/>
          <w:sz w:val="24"/>
          <w:szCs w:val="24"/>
        </w:rPr>
        <w:t xml:space="preserve"> </w:t>
      </w:r>
      <w:r w:rsidR="005F0918" w:rsidRPr="006B5489">
        <w:rPr>
          <w:rFonts w:ascii="Times New Roman" w:eastAsia="Times New Roman" w:hAnsi="Times New Roman" w:cs="Times New Roman"/>
          <w:sz w:val="24"/>
          <w:szCs w:val="24"/>
        </w:rPr>
        <w:t>service, posting, or affixing</w:t>
      </w:r>
      <w:r w:rsidR="00C03B5A" w:rsidRPr="006B5489">
        <w:rPr>
          <w:rFonts w:ascii="Times New Roman" w:eastAsia="Times New Roman" w:hAnsi="Times New Roman" w:cs="Times New Roman"/>
          <w:sz w:val="24"/>
          <w:szCs w:val="24"/>
        </w:rPr>
        <w:t xml:space="preserve">, evidence </w:t>
      </w:r>
      <w:r w:rsidR="00477859" w:rsidRPr="006B5489">
        <w:rPr>
          <w:rFonts w:ascii="Times New Roman" w:eastAsia="Times New Roman" w:hAnsi="Times New Roman" w:cs="Times New Roman"/>
          <w:sz w:val="24"/>
          <w:szCs w:val="24"/>
        </w:rPr>
        <w:t>may be introduced</w:t>
      </w:r>
      <w:r w:rsidR="00C03B5A" w:rsidRPr="006B5489">
        <w:rPr>
          <w:rFonts w:ascii="Times New Roman" w:eastAsia="Times New Roman" w:hAnsi="Times New Roman" w:cs="Times New Roman"/>
          <w:sz w:val="24"/>
          <w:szCs w:val="24"/>
        </w:rPr>
        <w:t xml:space="preserve"> to rebut th</w:t>
      </w:r>
      <w:r w:rsidR="00441160" w:rsidRPr="006B5489">
        <w:rPr>
          <w:rFonts w:ascii="Times New Roman" w:eastAsia="Times New Roman" w:hAnsi="Times New Roman" w:cs="Times New Roman"/>
          <w:sz w:val="24"/>
          <w:szCs w:val="24"/>
        </w:rPr>
        <w:t xml:space="preserve">e </w:t>
      </w:r>
      <w:r w:rsidR="005E3251" w:rsidRPr="006B5489">
        <w:rPr>
          <w:rFonts w:ascii="Times New Roman" w:eastAsia="Times New Roman" w:hAnsi="Times New Roman" w:cs="Times New Roman"/>
          <w:sz w:val="24"/>
          <w:szCs w:val="24"/>
        </w:rPr>
        <w:t xml:space="preserve">affidavit’s </w:t>
      </w:r>
      <w:r w:rsidR="00441160" w:rsidRPr="006B5489">
        <w:rPr>
          <w:rFonts w:ascii="Times New Roman" w:eastAsia="Times New Roman" w:hAnsi="Times New Roman" w:cs="Times New Roman"/>
          <w:sz w:val="24"/>
          <w:szCs w:val="24"/>
        </w:rPr>
        <w:t>accuracy</w:t>
      </w:r>
      <w:r w:rsidR="00C03B5A" w:rsidRPr="006B5489">
        <w:rPr>
          <w:rFonts w:ascii="Times New Roman" w:eastAsia="Times New Roman" w:hAnsi="Times New Roman" w:cs="Times New Roman"/>
          <w:sz w:val="24"/>
          <w:szCs w:val="24"/>
        </w:rPr>
        <w:t xml:space="preserve"> or otherwise to affect the weight of the evidence. (</w:t>
      </w:r>
      <w:r w:rsidR="00C03B5A" w:rsidRPr="006B5489">
        <w:rPr>
          <w:rFonts w:ascii="Times New Roman" w:eastAsia="Times New Roman" w:hAnsi="Times New Roman" w:cs="Times New Roman"/>
          <w:i/>
          <w:iCs/>
          <w:sz w:val="24"/>
          <w:szCs w:val="24"/>
        </w:rPr>
        <w:t>Cf.</w:t>
      </w:r>
      <w:r w:rsidR="00C03B5A" w:rsidRPr="006B5489">
        <w:rPr>
          <w:rFonts w:ascii="Times New Roman" w:eastAsia="Times New Roman" w:hAnsi="Times New Roman" w:cs="Times New Roman"/>
          <w:sz w:val="24"/>
          <w:szCs w:val="24"/>
        </w:rPr>
        <w:t xml:space="preserve"> </w:t>
      </w:r>
      <w:r w:rsidR="00C03B5A" w:rsidRPr="006B5489">
        <w:rPr>
          <w:rFonts w:ascii="Times New Roman" w:eastAsia="Times New Roman" w:hAnsi="Times New Roman" w:cs="Times New Roman"/>
          <w:i/>
          <w:iCs/>
          <w:sz w:val="24"/>
          <w:szCs w:val="24"/>
        </w:rPr>
        <w:t>Knox Vil</w:t>
      </w:r>
      <w:r w:rsidR="006A7749" w:rsidRPr="006B5489">
        <w:rPr>
          <w:rFonts w:ascii="Times New Roman" w:eastAsia="Times New Roman" w:hAnsi="Times New Roman" w:cs="Times New Roman"/>
          <w:i/>
          <w:iCs/>
          <w:sz w:val="24"/>
          <w:szCs w:val="24"/>
        </w:rPr>
        <w:t>.</w:t>
      </w:r>
      <w:r w:rsidR="00C03B5A" w:rsidRPr="006B5489">
        <w:rPr>
          <w:rFonts w:ascii="Times New Roman" w:eastAsia="Times New Roman" w:hAnsi="Times New Roman" w:cs="Times New Roman"/>
          <w:i/>
          <w:iCs/>
          <w:sz w:val="24"/>
          <w:szCs w:val="24"/>
        </w:rPr>
        <w:t xml:space="preserve"> Assoc. v Town of New Windsor</w:t>
      </w:r>
      <w:r w:rsidR="00C03B5A" w:rsidRPr="006B5489">
        <w:rPr>
          <w:rFonts w:ascii="Times New Roman" w:eastAsia="Times New Roman" w:hAnsi="Times New Roman" w:cs="Times New Roman"/>
          <w:sz w:val="24"/>
          <w:szCs w:val="24"/>
        </w:rPr>
        <w:t>, 219 AD2d 585, 586 [2d Dept 1995]</w:t>
      </w:r>
      <w:r w:rsidR="00AA6A2D">
        <w:rPr>
          <w:rFonts w:ascii="Times New Roman" w:eastAsia="Times New Roman" w:hAnsi="Times New Roman" w:cs="Times New Roman"/>
          <w:sz w:val="24"/>
          <w:szCs w:val="24"/>
        </w:rPr>
        <w:t>;</w:t>
      </w:r>
      <w:r w:rsidR="00C03B5A" w:rsidRPr="006B5489">
        <w:rPr>
          <w:rFonts w:ascii="Times New Roman" w:eastAsia="Times New Roman" w:hAnsi="Times New Roman" w:cs="Times New Roman"/>
          <w:sz w:val="24"/>
          <w:szCs w:val="24"/>
        </w:rPr>
        <w:t xml:space="preserve"> </w:t>
      </w:r>
      <w:r w:rsidR="00C03B5A" w:rsidRPr="006B5489">
        <w:rPr>
          <w:rFonts w:ascii="Times New Roman" w:eastAsia="Times New Roman" w:hAnsi="Times New Roman" w:cs="Times New Roman"/>
          <w:i/>
          <w:iCs/>
          <w:sz w:val="24"/>
          <w:szCs w:val="24"/>
        </w:rPr>
        <w:t>Berman v Golden</w:t>
      </w:r>
      <w:r w:rsidR="00C03B5A" w:rsidRPr="006B5489">
        <w:rPr>
          <w:rFonts w:ascii="Times New Roman" w:eastAsia="Times New Roman" w:hAnsi="Times New Roman" w:cs="Times New Roman"/>
          <w:sz w:val="24"/>
          <w:szCs w:val="24"/>
        </w:rPr>
        <w:t xml:space="preserve">, 131 AD2d 416, 417 [2d Dept 1987] </w:t>
      </w:r>
      <w:r w:rsidR="006A7749" w:rsidRPr="006B5489">
        <w:rPr>
          <w:rFonts w:ascii="Times New Roman" w:eastAsia="Times New Roman" w:hAnsi="Times New Roman" w:cs="Times New Roman"/>
          <w:sz w:val="24"/>
          <w:szCs w:val="24"/>
        </w:rPr>
        <w:t>[</w:t>
      </w:r>
      <w:r w:rsidR="00C03B5A" w:rsidRPr="006B5489">
        <w:rPr>
          <w:rFonts w:ascii="Times New Roman" w:eastAsia="Times New Roman" w:hAnsi="Times New Roman" w:cs="Times New Roman"/>
          <w:sz w:val="24"/>
          <w:szCs w:val="24"/>
        </w:rPr>
        <w:t xml:space="preserve">indicating that the terminology “prima facie evidence” in CPLR 4522 </w:t>
      </w:r>
      <w:r w:rsidR="006A7749" w:rsidRPr="006B5489">
        <w:rPr>
          <w:rFonts w:ascii="Times New Roman" w:eastAsia="Times New Roman" w:hAnsi="Times New Roman" w:cs="Times New Roman"/>
          <w:sz w:val="24"/>
          <w:szCs w:val="24"/>
        </w:rPr>
        <w:t>(</w:t>
      </w:r>
      <w:r w:rsidR="00C03B5A" w:rsidRPr="006B5489">
        <w:rPr>
          <w:rFonts w:ascii="Times New Roman" w:eastAsia="Times New Roman" w:hAnsi="Times New Roman" w:cs="Times New Roman"/>
          <w:sz w:val="24"/>
          <w:szCs w:val="24"/>
        </w:rPr>
        <w:t>Ancient filed maps, surveys and records affecting real property</w:t>
      </w:r>
      <w:r w:rsidR="006A7749" w:rsidRPr="006B5489">
        <w:rPr>
          <w:rFonts w:ascii="Times New Roman" w:eastAsia="Times New Roman" w:hAnsi="Times New Roman" w:cs="Times New Roman"/>
          <w:sz w:val="24"/>
          <w:szCs w:val="24"/>
        </w:rPr>
        <w:t>)</w:t>
      </w:r>
      <w:r w:rsidR="00C03B5A" w:rsidRPr="006B5489">
        <w:rPr>
          <w:rFonts w:ascii="Times New Roman" w:eastAsia="Times New Roman" w:hAnsi="Times New Roman" w:cs="Times New Roman"/>
          <w:sz w:val="24"/>
          <w:szCs w:val="24"/>
        </w:rPr>
        <w:t xml:space="preserve"> created a rebuttable presumption of the accuracy of the documents</w:t>
      </w:r>
      <w:r w:rsidR="006A7749" w:rsidRPr="006B5489">
        <w:rPr>
          <w:rFonts w:ascii="Times New Roman" w:eastAsia="Times New Roman" w:hAnsi="Times New Roman" w:cs="Times New Roman"/>
          <w:sz w:val="24"/>
          <w:szCs w:val="24"/>
        </w:rPr>
        <w:t>]</w:t>
      </w:r>
      <w:r w:rsidR="00C03B5A" w:rsidRPr="006B5489">
        <w:rPr>
          <w:rFonts w:ascii="Times New Roman" w:eastAsia="Times New Roman" w:hAnsi="Times New Roman" w:cs="Times New Roman"/>
          <w:sz w:val="24"/>
          <w:szCs w:val="24"/>
        </w:rPr>
        <w:t>.</w:t>
      </w:r>
      <w:r w:rsidR="007143C8">
        <w:rPr>
          <w:rFonts w:ascii="Times New Roman" w:eastAsia="Times New Roman" w:hAnsi="Times New Roman" w:cs="Times New Roman"/>
          <w:sz w:val="24"/>
          <w:szCs w:val="24"/>
        </w:rPr>
        <w:t xml:space="preserve"> </w:t>
      </w:r>
      <w:r w:rsidR="007143C8" w:rsidRPr="007143C8">
        <w:rPr>
          <w:rFonts w:ascii="Times New Roman" w:eastAsia="Times New Roman" w:hAnsi="Times New Roman" w:cs="Times New Roman"/>
          <w:i/>
          <w:iCs/>
          <w:sz w:val="24"/>
          <w:szCs w:val="24"/>
        </w:rPr>
        <w:t>See</w:t>
      </w:r>
      <w:r w:rsidR="007143C8" w:rsidRPr="007143C8">
        <w:rPr>
          <w:rFonts w:ascii="Times New Roman" w:eastAsia="Times New Roman" w:hAnsi="Times New Roman" w:cs="Times New Roman"/>
          <w:sz w:val="24"/>
          <w:szCs w:val="24"/>
        </w:rPr>
        <w:t xml:space="preserve"> </w:t>
      </w:r>
      <w:r w:rsidR="007143C8" w:rsidRPr="007143C8">
        <w:rPr>
          <w:rFonts w:ascii="Times New Roman" w:eastAsia="Times New Roman" w:hAnsi="Times New Roman" w:cs="Times New Roman"/>
          <w:sz w:val="24"/>
          <w:szCs w:val="24"/>
          <w:lang w:val="x-none"/>
        </w:rPr>
        <w:t xml:space="preserve">Vincent C. Alexander, Practice Commentaries, McKinney’s Cons Laws of NY, Book 7B, CPLR </w:t>
      </w:r>
      <w:r w:rsidR="007143C8" w:rsidRPr="007143C8">
        <w:rPr>
          <w:rFonts w:ascii="Times New Roman" w:eastAsia="Times New Roman" w:hAnsi="Times New Roman" w:cs="Times New Roman"/>
          <w:sz w:val="24"/>
          <w:szCs w:val="24"/>
        </w:rPr>
        <w:t>C4518:9.)</w:t>
      </w:r>
    </w:p>
    <w:p w14:paraId="7EEED852" w14:textId="7B3F8F3F" w:rsidR="00C03B5A" w:rsidRPr="006B5489" w:rsidRDefault="00C03B5A" w:rsidP="009A04A0">
      <w:pPr>
        <w:tabs>
          <w:tab w:val="left" w:pos="720"/>
        </w:tabs>
        <w:spacing w:after="0" w:line="276" w:lineRule="auto"/>
        <w:jc w:val="both"/>
        <w:rPr>
          <w:rFonts w:ascii="Times New Roman" w:eastAsia="Times New Roman" w:hAnsi="Times New Roman" w:cs="Times New Roman"/>
          <w:sz w:val="24"/>
          <w:szCs w:val="24"/>
        </w:rPr>
      </w:pPr>
    </w:p>
    <w:sectPr w:rsidR="00C03B5A" w:rsidRPr="006B5489" w:rsidSect="006B5489">
      <w:pgSz w:w="12240" w:h="15840" w:code="1"/>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yMDQwNTcyMDE1tTRW0lEKTi0uzszPAykwrAUA6rgtsCwAAAA="/>
  </w:docVars>
  <w:rsids>
    <w:rsidRoot w:val="00F55628"/>
    <w:rsid w:val="0003713E"/>
    <w:rsid w:val="00084C98"/>
    <w:rsid w:val="00091F15"/>
    <w:rsid w:val="000C4C5A"/>
    <w:rsid w:val="000D7536"/>
    <w:rsid w:val="000E34AC"/>
    <w:rsid w:val="000F5387"/>
    <w:rsid w:val="00107F88"/>
    <w:rsid w:val="001105EE"/>
    <w:rsid w:val="00110A8B"/>
    <w:rsid w:val="0013386D"/>
    <w:rsid w:val="00157256"/>
    <w:rsid w:val="001A1035"/>
    <w:rsid w:val="001C2C4B"/>
    <w:rsid w:val="0020279A"/>
    <w:rsid w:val="0021541F"/>
    <w:rsid w:val="0024417A"/>
    <w:rsid w:val="003077E0"/>
    <w:rsid w:val="003E3665"/>
    <w:rsid w:val="003F4F97"/>
    <w:rsid w:val="0040217B"/>
    <w:rsid w:val="00441160"/>
    <w:rsid w:val="0044588B"/>
    <w:rsid w:val="00476322"/>
    <w:rsid w:val="00477859"/>
    <w:rsid w:val="004A7775"/>
    <w:rsid w:val="004C0C4A"/>
    <w:rsid w:val="004D124E"/>
    <w:rsid w:val="005120F0"/>
    <w:rsid w:val="0055466D"/>
    <w:rsid w:val="005773DF"/>
    <w:rsid w:val="005D1602"/>
    <w:rsid w:val="005E3251"/>
    <w:rsid w:val="005F0918"/>
    <w:rsid w:val="006A515C"/>
    <w:rsid w:val="006A7749"/>
    <w:rsid w:val="006B5489"/>
    <w:rsid w:val="007143C8"/>
    <w:rsid w:val="007167B2"/>
    <w:rsid w:val="00733FCD"/>
    <w:rsid w:val="007602FB"/>
    <w:rsid w:val="00770E4D"/>
    <w:rsid w:val="0077162F"/>
    <w:rsid w:val="007867FD"/>
    <w:rsid w:val="00796B24"/>
    <w:rsid w:val="007C7EA3"/>
    <w:rsid w:val="007E500D"/>
    <w:rsid w:val="008331D7"/>
    <w:rsid w:val="00851FD9"/>
    <w:rsid w:val="00873CA8"/>
    <w:rsid w:val="008B1534"/>
    <w:rsid w:val="008D4435"/>
    <w:rsid w:val="008E11D4"/>
    <w:rsid w:val="008F48EB"/>
    <w:rsid w:val="00922075"/>
    <w:rsid w:val="00953ADD"/>
    <w:rsid w:val="009A04A0"/>
    <w:rsid w:val="009B77FB"/>
    <w:rsid w:val="009C7215"/>
    <w:rsid w:val="009F5231"/>
    <w:rsid w:val="00A0080E"/>
    <w:rsid w:val="00A20521"/>
    <w:rsid w:val="00A81D90"/>
    <w:rsid w:val="00A90C60"/>
    <w:rsid w:val="00AA6A2D"/>
    <w:rsid w:val="00AC36E6"/>
    <w:rsid w:val="00AE3E7C"/>
    <w:rsid w:val="00B25A55"/>
    <w:rsid w:val="00B549EC"/>
    <w:rsid w:val="00B7067A"/>
    <w:rsid w:val="00BA7DDB"/>
    <w:rsid w:val="00BE0F5F"/>
    <w:rsid w:val="00C03B5A"/>
    <w:rsid w:val="00C44C13"/>
    <w:rsid w:val="00C960DA"/>
    <w:rsid w:val="00CA1350"/>
    <w:rsid w:val="00CC475B"/>
    <w:rsid w:val="00D64906"/>
    <w:rsid w:val="00D8278C"/>
    <w:rsid w:val="00D8598B"/>
    <w:rsid w:val="00DB1C89"/>
    <w:rsid w:val="00DB5211"/>
    <w:rsid w:val="00DD1C42"/>
    <w:rsid w:val="00DE0300"/>
    <w:rsid w:val="00E649D7"/>
    <w:rsid w:val="00ED36AA"/>
    <w:rsid w:val="00EE4C71"/>
    <w:rsid w:val="00F34278"/>
    <w:rsid w:val="00F53316"/>
    <w:rsid w:val="00F55628"/>
    <w:rsid w:val="00F83E93"/>
    <w:rsid w:val="00FE4D8B"/>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04CB"/>
  <w15:chartTrackingRefBased/>
  <w15:docId w15:val="{09F9FB63-9A1B-4582-86C3-6196205D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6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0C4A"/>
    <w:rPr>
      <w:sz w:val="16"/>
      <w:szCs w:val="16"/>
    </w:rPr>
  </w:style>
  <w:style w:type="paragraph" w:styleId="CommentText">
    <w:name w:val="annotation text"/>
    <w:basedOn w:val="Normal"/>
    <w:link w:val="CommentTextChar"/>
    <w:uiPriority w:val="99"/>
    <w:semiHidden/>
    <w:unhideWhenUsed/>
    <w:rsid w:val="004C0C4A"/>
    <w:pPr>
      <w:spacing w:line="240" w:lineRule="auto"/>
    </w:pPr>
    <w:rPr>
      <w:sz w:val="20"/>
      <w:szCs w:val="20"/>
    </w:rPr>
  </w:style>
  <w:style w:type="character" w:customStyle="1" w:styleId="CommentTextChar">
    <w:name w:val="Comment Text Char"/>
    <w:basedOn w:val="DefaultParagraphFont"/>
    <w:link w:val="CommentText"/>
    <w:uiPriority w:val="99"/>
    <w:semiHidden/>
    <w:rsid w:val="004C0C4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C0C4A"/>
    <w:rPr>
      <w:b/>
      <w:bCs/>
    </w:rPr>
  </w:style>
  <w:style w:type="character" w:customStyle="1" w:styleId="CommentSubjectChar">
    <w:name w:val="Comment Subject Char"/>
    <w:basedOn w:val="CommentTextChar"/>
    <w:link w:val="CommentSubject"/>
    <w:uiPriority w:val="99"/>
    <w:semiHidden/>
    <w:rsid w:val="004C0C4A"/>
    <w:rPr>
      <w:rFonts w:eastAsiaTheme="minorEastAsia"/>
      <w:b/>
      <w:bCs/>
      <w:sz w:val="20"/>
      <w:szCs w:val="20"/>
    </w:rPr>
  </w:style>
  <w:style w:type="paragraph" w:styleId="BalloonText">
    <w:name w:val="Balloon Text"/>
    <w:basedOn w:val="Normal"/>
    <w:link w:val="BalloonTextChar"/>
    <w:uiPriority w:val="99"/>
    <w:semiHidden/>
    <w:unhideWhenUsed/>
    <w:rsid w:val="004C0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C4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6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Hutter</dc:creator>
  <cp:keywords/>
  <dc:description/>
  <cp:lastModifiedBy>Bill Donnino</cp:lastModifiedBy>
  <cp:revision>6</cp:revision>
  <dcterms:created xsi:type="dcterms:W3CDTF">2020-12-16T21:15:00Z</dcterms:created>
  <dcterms:modified xsi:type="dcterms:W3CDTF">2022-05-06T03:24:00Z</dcterms:modified>
</cp:coreProperties>
</file>