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BF52" w14:textId="7A3CD04A" w:rsidR="00CF37B3" w:rsidRPr="0088566E" w:rsidRDefault="00CF37B3" w:rsidP="00FA7165">
      <w:pPr>
        <w:ind w:left="0" w:right="0"/>
        <w:jc w:val="both"/>
        <w:rPr>
          <w:rFonts w:cs="Times New Roman"/>
          <w:b/>
          <w:bCs/>
          <w:sz w:val="28"/>
          <w:szCs w:val="28"/>
        </w:rPr>
      </w:pPr>
      <w:r w:rsidRPr="0088566E">
        <w:rPr>
          <w:rFonts w:cs="Times New Roman"/>
          <w:b/>
          <w:bCs/>
          <w:sz w:val="28"/>
          <w:szCs w:val="28"/>
        </w:rPr>
        <w:t>3.</w:t>
      </w:r>
      <w:r w:rsidR="00B523CF">
        <w:rPr>
          <w:rFonts w:cs="Times New Roman"/>
          <w:b/>
          <w:bCs/>
          <w:sz w:val="28"/>
          <w:szCs w:val="28"/>
        </w:rPr>
        <w:t>60</w:t>
      </w:r>
      <w:r w:rsidR="00F46973">
        <w:rPr>
          <w:rFonts w:cs="Times New Roman"/>
          <w:b/>
          <w:bCs/>
          <w:sz w:val="28"/>
          <w:szCs w:val="28"/>
        </w:rPr>
        <w:t>.</w:t>
      </w:r>
      <w:r w:rsidRPr="0088566E">
        <w:rPr>
          <w:rFonts w:cs="Times New Roman"/>
          <w:b/>
          <w:bCs/>
          <w:sz w:val="28"/>
          <w:szCs w:val="28"/>
        </w:rPr>
        <w:t xml:space="preserve"> Certificate</w:t>
      </w:r>
      <w:r w:rsidR="00B11940">
        <w:rPr>
          <w:rFonts w:cs="Times New Roman"/>
          <w:b/>
          <w:bCs/>
          <w:sz w:val="28"/>
          <w:szCs w:val="28"/>
        </w:rPr>
        <w:t>s</w:t>
      </w:r>
      <w:r w:rsidRPr="0088566E">
        <w:rPr>
          <w:rFonts w:cs="Times New Roman"/>
          <w:b/>
          <w:bCs/>
          <w:sz w:val="28"/>
          <w:szCs w:val="28"/>
        </w:rPr>
        <w:t xml:space="preserve"> Concerning Judgments of Conviction</w:t>
      </w:r>
      <w:r w:rsidR="00B523CF">
        <w:rPr>
          <w:rFonts w:cs="Times New Roman"/>
          <w:b/>
          <w:bCs/>
          <w:sz w:val="28"/>
          <w:szCs w:val="28"/>
        </w:rPr>
        <w:t xml:space="preserve"> </w:t>
      </w:r>
      <w:r w:rsidRPr="0088566E">
        <w:rPr>
          <w:rFonts w:cs="Times New Roman"/>
          <w:b/>
          <w:bCs/>
          <w:sz w:val="28"/>
          <w:szCs w:val="28"/>
        </w:rPr>
        <w:t xml:space="preserve">and Fingerprints </w:t>
      </w:r>
      <w:r w:rsidR="004914F5">
        <w:rPr>
          <w:rFonts w:cs="Times New Roman"/>
          <w:b/>
          <w:bCs/>
          <w:sz w:val="28"/>
          <w:szCs w:val="28"/>
        </w:rPr>
        <w:t>(</w:t>
      </w:r>
      <w:r w:rsidRPr="0088566E">
        <w:rPr>
          <w:rFonts w:cs="Times New Roman"/>
          <w:b/>
          <w:bCs/>
          <w:sz w:val="28"/>
          <w:szCs w:val="28"/>
        </w:rPr>
        <w:t>CPL 60.60</w:t>
      </w:r>
      <w:r w:rsidR="004914F5">
        <w:rPr>
          <w:rFonts w:cs="Times New Roman"/>
          <w:b/>
          <w:bCs/>
          <w:sz w:val="28"/>
          <w:szCs w:val="28"/>
        </w:rPr>
        <w:t>)</w:t>
      </w:r>
    </w:p>
    <w:p w14:paraId="066C74F3" w14:textId="77777777" w:rsidR="00CF37B3" w:rsidRPr="0088566E" w:rsidRDefault="00CF37B3" w:rsidP="00FA7165">
      <w:pPr>
        <w:ind w:left="0"/>
        <w:jc w:val="both"/>
        <w:rPr>
          <w:rFonts w:cs="Times New Roman"/>
          <w:b/>
          <w:bCs/>
          <w:sz w:val="28"/>
          <w:szCs w:val="28"/>
        </w:rPr>
      </w:pPr>
    </w:p>
    <w:p w14:paraId="09CF3EAF" w14:textId="5E46E184" w:rsidR="00CF37B3" w:rsidRPr="0088566E" w:rsidRDefault="00CF37B3" w:rsidP="00FA7165">
      <w:pPr>
        <w:ind w:left="720" w:right="720"/>
        <w:jc w:val="both"/>
        <w:rPr>
          <w:rFonts w:cs="Times New Roman"/>
          <w:b/>
          <w:bCs/>
          <w:sz w:val="28"/>
          <w:szCs w:val="28"/>
        </w:rPr>
      </w:pPr>
      <w:r w:rsidRPr="0088566E">
        <w:rPr>
          <w:rFonts w:cs="Times New Roman"/>
          <w:b/>
          <w:bCs/>
          <w:sz w:val="28"/>
          <w:szCs w:val="28"/>
        </w:rPr>
        <w:t>1. A certificate issued by a criminal court, or the clerk thereof, certifying that a judgment of conviction against a designated defendant has been entered in such court, constitutes presumptive evidence of the facts stated in such certificate.</w:t>
      </w:r>
    </w:p>
    <w:p w14:paraId="6EA48016" w14:textId="77777777" w:rsidR="00CF37B3" w:rsidRPr="0088566E" w:rsidRDefault="00CF37B3" w:rsidP="00FA7165">
      <w:pPr>
        <w:ind w:left="0" w:right="720"/>
        <w:jc w:val="both"/>
        <w:rPr>
          <w:rFonts w:cs="Times New Roman"/>
          <w:b/>
          <w:bCs/>
          <w:sz w:val="28"/>
          <w:szCs w:val="28"/>
        </w:rPr>
      </w:pPr>
    </w:p>
    <w:p w14:paraId="37D2B4E5" w14:textId="09796C8A" w:rsidR="00CF37B3" w:rsidRPr="0088566E" w:rsidRDefault="00CF37B3" w:rsidP="00FA7165">
      <w:pPr>
        <w:ind w:left="720" w:right="720"/>
        <w:jc w:val="both"/>
        <w:rPr>
          <w:rFonts w:cs="Times New Roman"/>
          <w:b/>
          <w:bCs/>
          <w:sz w:val="28"/>
          <w:szCs w:val="28"/>
        </w:rPr>
      </w:pPr>
      <w:r w:rsidRPr="0088566E">
        <w:rPr>
          <w:rFonts w:cs="Times New Roman"/>
          <w:b/>
          <w:bCs/>
          <w:sz w:val="28"/>
          <w:szCs w:val="28"/>
        </w:rPr>
        <w:t>2. A report of a public servant charged with the custody of official fingerprint records which contains a certification that the fingerprints of a designated person who has previously been convicted of an offense are identical with those of a defendant in a criminal action, constitutes presumptive evidence of the fact that such defendant has previously been convicted of such offense.</w:t>
      </w:r>
    </w:p>
    <w:p w14:paraId="2972740F" w14:textId="77777777" w:rsidR="00CF37B3" w:rsidRPr="0088566E" w:rsidRDefault="00CF37B3" w:rsidP="00FA7165">
      <w:pPr>
        <w:ind w:left="0"/>
        <w:jc w:val="both"/>
        <w:rPr>
          <w:rFonts w:cs="Times New Roman"/>
          <w:b/>
          <w:bCs/>
          <w:sz w:val="28"/>
          <w:szCs w:val="28"/>
        </w:rPr>
      </w:pPr>
    </w:p>
    <w:p w14:paraId="26DB2623" w14:textId="77777777" w:rsidR="00CF37B3" w:rsidRPr="0088566E" w:rsidRDefault="00CF37B3" w:rsidP="00FA7165">
      <w:pPr>
        <w:jc w:val="center"/>
        <w:rPr>
          <w:rFonts w:cs="Times New Roman"/>
          <w:b/>
          <w:bCs/>
          <w:sz w:val="28"/>
          <w:szCs w:val="28"/>
        </w:rPr>
      </w:pPr>
      <w:r w:rsidRPr="0088566E">
        <w:rPr>
          <w:rFonts w:cs="Times New Roman"/>
          <w:b/>
          <w:bCs/>
          <w:sz w:val="28"/>
          <w:szCs w:val="28"/>
        </w:rPr>
        <w:t>Note</w:t>
      </w:r>
    </w:p>
    <w:p w14:paraId="4052D984" w14:textId="77777777" w:rsidR="00CF37B3" w:rsidRPr="0088566E" w:rsidRDefault="00CF37B3" w:rsidP="00FA7165">
      <w:pPr>
        <w:jc w:val="center"/>
        <w:rPr>
          <w:rFonts w:cs="Times New Roman"/>
          <w:szCs w:val="24"/>
        </w:rPr>
      </w:pPr>
    </w:p>
    <w:p w14:paraId="456F7DC3" w14:textId="77777777" w:rsidR="00CF37B3" w:rsidRPr="0088566E" w:rsidRDefault="00CF37B3" w:rsidP="00FA7165">
      <w:pPr>
        <w:ind w:left="0" w:right="0"/>
        <w:jc w:val="both"/>
        <w:rPr>
          <w:rFonts w:cs="Times New Roman"/>
          <w:szCs w:val="24"/>
        </w:rPr>
      </w:pPr>
      <w:r w:rsidRPr="0088566E">
        <w:rPr>
          <w:rFonts w:cs="Times New Roman"/>
          <w:szCs w:val="24"/>
        </w:rPr>
        <w:tab/>
        <w:t>This rule reproduces verbatim CPL 60.60.  By making the specified certificate of a judgment of conviction and of an official fingerprint record “presumptive evidence” of the specified facts, the statute also provides an exception to the hearsay rule for the admission in evidence of those facts.</w:t>
      </w:r>
    </w:p>
    <w:p w14:paraId="61386F64" w14:textId="77777777" w:rsidR="00CF37B3" w:rsidRPr="0088566E" w:rsidRDefault="00CF37B3" w:rsidP="00FA7165">
      <w:pPr>
        <w:ind w:left="0" w:right="0"/>
        <w:jc w:val="both"/>
        <w:rPr>
          <w:rFonts w:cs="Times New Roman"/>
          <w:szCs w:val="24"/>
        </w:rPr>
      </w:pPr>
    </w:p>
    <w:p w14:paraId="4D162917" w14:textId="42F9AAAB" w:rsidR="00CF37B3" w:rsidRPr="0088566E" w:rsidRDefault="0088566E" w:rsidP="00FA7165">
      <w:pPr>
        <w:shd w:val="clear" w:color="auto" w:fill="FFFFFF"/>
        <w:tabs>
          <w:tab w:val="left" w:pos="720"/>
        </w:tabs>
        <w:ind w:left="0" w:right="0"/>
        <w:jc w:val="both"/>
        <w:rPr>
          <w:rFonts w:eastAsia="Times New Roman" w:cs="Times New Roman"/>
          <w:color w:val="000000"/>
          <w:szCs w:val="24"/>
        </w:rPr>
      </w:pPr>
      <w:r>
        <w:rPr>
          <w:rFonts w:cs="Times New Roman"/>
          <w:b/>
          <w:bCs/>
          <w:szCs w:val="24"/>
        </w:rPr>
        <w:tab/>
      </w:r>
      <w:r w:rsidR="00CF37B3" w:rsidRPr="0088566E">
        <w:rPr>
          <w:rFonts w:cs="Times New Roman"/>
          <w:b/>
          <w:bCs/>
          <w:szCs w:val="24"/>
        </w:rPr>
        <w:t>Subdivision (1)</w:t>
      </w:r>
      <w:r w:rsidR="00CF37B3" w:rsidRPr="0088566E">
        <w:rPr>
          <w:rFonts w:cs="Times New Roman"/>
          <w:szCs w:val="24"/>
        </w:rPr>
        <w:t xml:space="preserve"> authorizes the introduction in evidence of a certificate of a judgment of conviction of a named person.  If the purpose, however, is to provide presumptive evidence of the identity of a person as the one named in the certificate, the certificate, with only a name recorded on it, is insufficient</w:t>
      </w:r>
      <w:r w:rsidR="00221FAF" w:rsidRPr="0088566E">
        <w:rPr>
          <w:rFonts w:cs="Times New Roman"/>
          <w:szCs w:val="24"/>
        </w:rPr>
        <w:t xml:space="preserve"> </w:t>
      </w:r>
      <w:r w:rsidR="00CF37B3" w:rsidRPr="0088566E">
        <w:rPr>
          <w:rFonts w:cs="Times New Roman"/>
          <w:szCs w:val="24"/>
        </w:rPr>
        <w:t>(</w:t>
      </w:r>
      <w:r w:rsidR="00CF37B3" w:rsidRPr="0088566E">
        <w:rPr>
          <w:rFonts w:eastAsia="Times New Roman" w:cs="Times New Roman"/>
          <w:i/>
          <w:iCs/>
          <w:color w:val="000000"/>
          <w:szCs w:val="24"/>
        </w:rPr>
        <w:t>People v Vollick</w:t>
      </w:r>
      <w:r w:rsidR="00CF37B3" w:rsidRPr="0088566E">
        <w:rPr>
          <w:rFonts w:eastAsia="Times New Roman" w:cs="Times New Roman"/>
          <w:color w:val="000000"/>
          <w:szCs w:val="24"/>
        </w:rPr>
        <w:t>, 148 AD2d 950</w:t>
      </w:r>
      <w:r w:rsidR="00221FAF" w:rsidRPr="0088566E">
        <w:rPr>
          <w:rFonts w:eastAsia="Times New Roman" w:cs="Times New Roman"/>
          <w:color w:val="000000"/>
          <w:szCs w:val="24"/>
        </w:rPr>
        <w:t>, 951</w:t>
      </w:r>
      <w:r w:rsidR="00CF37B3" w:rsidRPr="0088566E">
        <w:rPr>
          <w:rFonts w:eastAsia="Times New Roman" w:cs="Times New Roman"/>
          <w:color w:val="000000"/>
          <w:szCs w:val="24"/>
        </w:rPr>
        <w:t xml:space="preserve"> [4th Dept 1989]</w:t>
      </w:r>
      <w:r w:rsidR="00221FAF" w:rsidRPr="0088566E">
        <w:rPr>
          <w:rFonts w:eastAsia="Times New Roman" w:cs="Times New Roman"/>
          <w:color w:val="000000"/>
          <w:szCs w:val="24"/>
        </w:rPr>
        <w:t xml:space="preserve"> [“While the certificate here states that (a named person) was previously convicted, it does not otherwise state any facts demonstrating that the person named in the certificate is the defendant. The certificate proves only that a person by the same name as defendant was previously convicted” (citation omitted)]</w:t>
      </w:r>
      <w:r w:rsidR="00CF37B3" w:rsidRPr="0088566E">
        <w:rPr>
          <w:rFonts w:eastAsia="Times New Roman" w:cs="Times New Roman"/>
          <w:color w:val="000000"/>
          <w:szCs w:val="24"/>
        </w:rPr>
        <w:t xml:space="preserve">, </w:t>
      </w:r>
      <w:r w:rsidR="00CF37B3" w:rsidRPr="0088566E">
        <w:rPr>
          <w:rFonts w:eastAsia="Times New Roman" w:cs="Times New Roman"/>
          <w:i/>
          <w:iCs/>
          <w:color w:val="000000"/>
          <w:szCs w:val="24"/>
        </w:rPr>
        <w:t>affd</w:t>
      </w:r>
      <w:r w:rsidR="00CF37B3" w:rsidRPr="0088566E">
        <w:rPr>
          <w:rFonts w:eastAsia="Times New Roman" w:cs="Times New Roman"/>
          <w:color w:val="000000"/>
          <w:szCs w:val="24"/>
        </w:rPr>
        <w:t xml:space="preserve"> </w:t>
      </w:r>
      <w:r w:rsidR="00CF37B3" w:rsidRPr="0088566E">
        <w:rPr>
          <w:rFonts w:eastAsia="Times New Roman" w:cs="Times New Roman"/>
          <w:i/>
          <w:iCs/>
          <w:color w:val="000000"/>
          <w:szCs w:val="24"/>
        </w:rPr>
        <w:t xml:space="preserve">for reasons stated </w:t>
      </w:r>
      <w:r w:rsidR="00221FAF" w:rsidRPr="0088566E">
        <w:rPr>
          <w:rFonts w:eastAsia="Times New Roman" w:cs="Times New Roman"/>
          <w:i/>
          <w:iCs/>
          <w:color w:val="000000"/>
          <w:szCs w:val="24"/>
        </w:rPr>
        <w:t>below</w:t>
      </w:r>
      <w:r w:rsidR="00CF37B3" w:rsidRPr="0088566E">
        <w:rPr>
          <w:rFonts w:eastAsia="Times New Roman" w:cs="Times New Roman"/>
          <w:color w:val="000000"/>
          <w:szCs w:val="24"/>
        </w:rPr>
        <w:t xml:space="preserve"> 75 NY2d 877 </w:t>
      </w:r>
      <w:r w:rsidR="00221FAF" w:rsidRPr="0088566E">
        <w:rPr>
          <w:rFonts w:eastAsia="Times New Roman" w:cs="Times New Roman"/>
          <w:color w:val="000000"/>
          <w:szCs w:val="24"/>
        </w:rPr>
        <w:t>[1990]</w:t>
      </w:r>
      <w:r w:rsidR="00CF37B3" w:rsidRPr="0088566E">
        <w:rPr>
          <w:rFonts w:eastAsia="Times New Roman" w:cs="Times New Roman"/>
          <w:color w:val="000000"/>
          <w:szCs w:val="24"/>
        </w:rPr>
        <w:t>).  Additional evidence of identity, such as “date of birth and NYSID number,” is necessary (</w:t>
      </w:r>
      <w:r w:rsidR="00CF37B3" w:rsidRPr="0088566E">
        <w:rPr>
          <w:rFonts w:eastAsia="Times New Roman" w:cs="Times New Roman"/>
          <w:i/>
          <w:iCs/>
          <w:color w:val="000000"/>
          <w:szCs w:val="24"/>
        </w:rPr>
        <w:t>People v Shaw</w:t>
      </w:r>
      <w:r w:rsidR="00CF37B3" w:rsidRPr="0088566E">
        <w:rPr>
          <w:rFonts w:eastAsia="Times New Roman" w:cs="Times New Roman"/>
          <w:color w:val="000000"/>
          <w:szCs w:val="24"/>
        </w:rPr>
        <w:t>, 83 AD3d 1101, 1102-1103 [2d Dept 2011]).</w:t>
      </w:r>
    </w:p>
    <w:p w14:paraId="6633486C" w14:textId="77777777" w:rsidR="00CF37B3" w:rsidRPr="0088566E" w:rsidRDefault="00CF37B3" w:rsidP="00FA7165">
      <w:pPr>
        <w:shd w:val="clear" w:color="auto" w:fill="FFFFFF"/>
        <w:ind w:left="0"/>
        <w:jc w:val="both"/>
        <w:rPr>
          <w:rFonts w:eastAsia="Times New Roman" w:cs="Times New Roman"/>
          <w:color w:val="000000"/>
          <w:szCs w:val="24"/>
        </w:rPr>
      </w:pPr>
    </w:p>
    <w:p w14:paraId="586E34BE" w14:textId="79CA15B3" w:rsidR="00CF37B3" w:rsidRPr="0088566E" w:rsidRDefault="0088566E" w:rsidP="00FA7165">
      <w:pPr>
        <w:shd w:val="clear" w:color="auto" w:fill="FFFFFF"/>
        <w:tabs>
          <w:tab w:val="left" w:pos="720"/>
        </w:tabs>
        <w:ind w:left="0" w:right="0"/>
        <w:jc w:val="both"/>
        <w:rPr>
          <w:rFonts w:eastAsia="Times New Roman" w:cs="Times New Roman"/>
          <w:color w:val="000000"/>
          <w:szCs w:val="24"/>
        </w:rPr>
      </w:pPr>
      <w:r>
        <w:rPr>
          <w:rFonts w:eastAsia="Times New Roman" w:cs="Times New Roman"/>
          <w:b/>
          <w:bCs/>
          <w:color w:val="000000"/>
          <w:szCs w:val="24"/>
        </w:rPr>
        <w:tab/>
      </w:r>
      <w:r w:rsidR="00CF37B3" w:rsidRPr="0088566E">
        <w:rPr>
          <w:rFonts w:eastAsia="Times New Roman" w:cs="Times New Roman"/>
          <w:b/>
          <w:bCs/>
          <w:color w:val="000000"/>
          <w:szCs w:val="24"/>
        </w:rPr>
        <w:t xml:space="preserve">Subdivision (2) </w:t>
      </w:r>
      <w:r w:rsidR="00CF37B3" w:rsidRPr="0088566E">
        <w:rPr>
          <w:rFonts w:eastAsia="Times New Roman" w:cs="Times New Roman"/>
          <w:color w:val="000000"/>
          <w:szCs w:val="24"/>
        </w:rPr>
        <w:t>allows for presumptive proof of identity by a comparison of the defendant’s fingerprints and the fingerprints of the person previously convicted of an offense</w:t>
      </w:r>
      <w:r w:rsidR="00221FAF" w:rsidRPr="0088566E">
        <w:rPr>
          <w:rFonts w:eastAsia="Times New Roman" w:cs="Times New Roman"/>
          <w:color w:val="000000"/>
          <w:szCs w:val="24"/>
        </w:rPr>
        <w:t xml:space="preserve"> (</w:t>
      </w:r>
      <w:r w:rsidR="00CF37B3" w:rsidRPr="0088566E">
        <w:rPr>
          <w:rFonts w:eastAsia="Times New Roman" w:cs="Times New Roman"/>
          <w:i/>
          <w:iCs/>
          <w:color w:val="000000"/>
          <w:szCs w:val="24"/>
        </w:rPr>
        <w:t>People v Mathis</w:t>
      </w:r>
      <w:r w:rsidR="00CF37B3" w:rsidRPr="0088566E">
        <w:rPr>
          <w:rFonts w:eastAsia="Times New Roman" w:cs="Times New Roman"/>
          <w:color w:val="000000"/>
          <w:szCs w:val="24"/>
        </w:rPr>
        <w:t>, 278 AD2d 803, 803</w:t>
      </w:r>
      <w:r w:rsidR="00221FAF" w:rsidRPr="0088566E">
        <w:rPr>
          <w:rFonts w:eastAsia="Times New Roman" w:cs="Times New Roman"/>
          <w:color w:val="000000"/>
          <w:szCs w:val="24"/>
        </w:rPr>
        <w:t xml:space="preserve"> </w:t>
      </w:r>
      <w:r w:rsidR="00CF37B3" w:rsidRPr="0088566E">
        <w:rPr>
          <w:rFonts w:eastAsia="Times New Roman" w:cs="Times New Roman"/>
          <w:color w:val="000000"/>
          <w:szCs w:val="24"/>
        </w:rPr>
        <w:t xml:space="preserve">[4th Dept 2000] </w:t>
      </w:r>
      <w:r w:rsidR="00CF37B3" w:rsidRPr="0088566E">
        <w:rPr>
          <w:rFonts w:eastAsia="Times New Roman" w:cs="Times New Roman"/>
          <w:color w:val="000000"/>
          <w:szCs w:val="24"/>
        </w:rPr>
        <w:lastRenderedPageBreak/>
        <w:t xml:space="preserve">[“The certificates of conviction issued by the clerks of </w:t>
      </w:r>
      <w:r w:rsidR="00221FAF" w:rsidRPr="0088566E">
        <w:rPr>
          <w:rFonts w:eastAsia="Times New Roman" w:cs="Times New Roman"/>
          <w:color w:val="000000"/>
          <w:szCs w:val="24"/>
        </w:rPr>
        <w:t>(</w:t>
      </w:r>
      <w:r w:rsidR="00CF37B3" w:rsidRPr="0088566E">
        <w:rPr>
          <w:rFonts w:eastAsia="Times New Roman" w:cs="Times New Roman"/>
          <w:color w:val="000000"/>
          <w:szCs w:val="24"/>
        </w:rPr>
        <w:t>the</w:t>
      </w:r>
      <w:r w:rsidR="00221FAF" w:rsidRPr="0088566E">
        <w:rPr>
          <w:rFonts w:eastAsia="Times New Roman" w:cs="Times New Roman"/>
          <w:color w:val="000000"/>
          <w:szCs w:val="24"/>
        </w:rPr>
        <w:t xml:space="preserve">) </w:t>
      </w:r>
      <w:r w:rsidR="00CF37B3" w:rsidRPr="0088566E">
        <w:rPr>
          <w:rFonts w:eastAsia="Times New Roman" w:cs="Times New Roman"/>
          <w:color w:val="000000"/>
          <w:szCs w:val="24"/>
        </w:rPr>
        <w:t>Counties constitute presumptive evidence of defendant</w:t>
      </w:r>
      <w:r w:rsidR="003B032F">
        <w:rPr>
          <w:rFonts w:eastAsia="Times New Roman" w:cs="Times New Roman"/>
          <w:color w:val="000000"/>
          <w:szCs w:val="24"/>
        </w:rPr>
        <w:t>’</w:t>
      </w:r>
      <w:r w:rsidR="00CF37B3" w:rsidRPr="0088566E">
        <w:rPr>
          <w:rFonts w:eastAsia="Times New Roman" w:cs="Times New Roman"/>
          <w:color w:val="000000"/>
          <w:szCs w:val="24"/>
        </w:rPr>
        <w:t>s two prior violent felony convictions (</w:t>
      </w:r>
      <w:r w:rsidR="00CF37B3" w:rsidRPr="0088566E">
        <w:rPr>
          <w:rFonts w:eastAsia="Times New Roman" w:cs="Times New Roman"/>
          <w:i/>
          <w:iCs/>
          <w:color w:val="000000"/>
          <w:szCs w:val="24"/>
        </w:rPr>
        <w:t>see,</w:t>
      </w:r>
      <w:r w:rsidR="00CF37B3" w:rsidRPr="0088566E">
        <w:rPr>
          <w:rFonts w:eastAsia="Times New Roman" w:cs="Times New Roman"/>
          <w:color w:val="000000"/>
          <w:szCs w:val="24"/>
        </w:rPr>
        <w:t xml:space="preserve"> CPL 60.60</w:t>
      </w:r>
      <w:r w:rsidR="00221FAF" w:rsidRPr="0088566E">
        <w:rPr>
          <w:rFonts w:eastAsia="Times New Roman" w:cs="Times New Roman"/>
          <w:color w:val="000000"/>
          <w:szCs w:val="24"/>
        </w:rPr>
        <w:t xml:space="preserve"> </w:t>
      </w:r>
      <w:r w:rsidR="00CF37B3" w:rsidRPr="0088566E">
        <w:rPr>
          <w:rFonts w:eastAsia="Times New Roman" w:cs="Times New Roman"/>
          <w:color w:val="000000"/>
          <w:szCs w:val="24"/>
        </w:rPr>
        <w:t>[1]</w:t>
      </w:r>
      <w:r w:rsidR="006F42E1" w:rsidRPr="0088566E">
        <w:rPr>
          <w:rFonts w:eastAsia="Times New Roman" w:cs="Times New Roman"/>
          <w:color w:val="000000"/>
          <w:szCs w:val="24"/>
        </w:rPr>
        <w:t xml:space="preserve">), </w:t>
      </w:r>
      <w:r w:rsidR="00CF37B3" w:rsidRPr="0088566E">
        <w:rPr>
          <w:rFonts w:eastAsia="Times New Roman" w:cs="Times New Roman"/>
          <w:color w:val="000000"/>
          <w:szCs w:val="24"/>
        </w:rPr>
        <w:t>and the testimony of a State Police investigator concerning defendant</w:t>
      </w:r>
      <w:r w:rsidR="003B032F">
        <w:rPr>
          <w:rFonts w:eastAsia="Times New Roman" w:cs="Times New Roman"/>
          <w:color w:val="000000"/>
          <w:szCs w:val="24"/>
        </w:rPr>
        <w:t>’</w:t>
      </w:r>
      <w:r w:rsidR="00CF37B3" w:rsidRPr="0088566E">
        <w:rPr>
          <w:rFonts w:eastAsia="Times New Roman" w:cs="Times New Roman"/>
          <w:color w:val="000000"/>
          <w:szCs w:val="24"/>
        </w:rPr>
        <w:t>s fingerprints established that defendant is the person named in those certificates (</w:t>
      </w:r>
      <w:r w:rsidR="00CF37B3" w:rsidRPr="0088566E">
        <w:rPr>
          <w:rFonts w:eastAsia="Times New Roman" w:cs="Times New Roman"/>
          <w:i/>
          <w:iCs/>
          <w:color w:val="000000"/>
          <w:szCs w:val="24"/>
        </w:rPr>
        <w:t>see,</w:t>
      </w:r>
      <w:r w:rsidR="00CF37B3" w:rsidRPr="0088566E">
        <w:rPr>
          <w:rFonts w:eastAsia="Times New Roman" w:cs="Times New Roman"/>
          <w:color w:val="000000"/>
          <w:szCs w:val="24"/>
        </w:rPr>
        <w:t xml:space="preserve"> CPL 60.60</w:t>
      </w:r>
      <w:r w:rsidR="006F42E1" w:rsidRPr="0088566E">
        <w:rPr>
          <w:rFonts w:eastAsia="Times New Roman" w:cs="Times New Roman"/>
          <w:color w:val="000000"/>
          <w:szCs w:val="24"/>
        </w:rPr>
        <w:t xml:space="preserve"> </w:t>
      </w:r>
      <w:r w:rsidR="00CF37B3" w:rsidRPr="0088566E">
        <w:rPr>
          <w:rFonts w:eastAsia="Times New Roman" w:cs="Times New Roman"/>
          <w:color w:val="000000"/>
          <w:szCs w:val="24"/>
        </w:rPr>
        <w:t>[2]” (citation omitted)]).</w:t>
      </w:r>
    </w:p>
    <w:p w14:paraId="16EA513D" w14:textId="77777777" w:rsidR="00CF37B3" w:rsidRPr="0088566E" w:rsidRDefault="00CF37B3" w:rsidP="00FA7165">
      <w:pPr>
        <w:shd w:val="clear" w:color="auto" w:fill="FFFFFF"/>
        <w:ind w:left="0" w:right="0"/>
        <w:jc w:val="both"/>
        <w:rPr>
          <w:rFonts w:eastAsia="Times New Roman" w:cs="Times New Roman"/>
          <w:color w:val="000000"/>
          <w:szCs w:val="24"/>
        </w:rPr>
      </w:pPr>
    </w:p>
    <w:p w14:paraId="363B606F" w14:textId="7CFCB006" w:rsidR="00CF37B3" w:rsidRPr="0088566E" w:rsidRDefault="0088566E" w:rsidP="00FA7165">
      <w:pPr>
        <w:tabs>
          <w:tab w:val="left" w:pos="720"/>
        </w:tabs>
        <w:ind w:left="0" w:right="0"/>
        <w:jc w:val="both"/>
        <w:rPr>
          <w:rFonts w:eastAsia="Times New Roman" w:cs="Times New Roman"/>
          <w:color w:val="000000"/>
          <w:szCs w:val="24"/>
        </w:rPr>
      </w:pPr>
      <w:r>
        <w:rPr>
          <w:rFonts w:eastAsia="Calibri" w:cs="Times New Roman"/>
          <w:szCs w:val="24"/>
        </w:rPr>
        <w:tab/>
      </w:r>
      <w:r w:rsidR="00CF37B3" w:rsidRPr="0088566E">
        <w:rPr>
          <w:rFonts w:eastAsia="Calibri" w:cs="Times New Roman"/>
          <w:szCs w:val="24"/>
        </w:rPr>
        <w:t xml:space="preserve">While the Sixth Amendment right of confrontation does not apply in a grand jury or sentencing proceeding </w:t>
      </w:r>
      <w:r w:rsidR="006F42E1" w:rsidRPr="0088566E">
        <w:rPr>
          <w:rFonts w:eastAsia="Calibri" w:cs="Times New Roman"/>
          <w:szCs w:val="24"/>
        </w:rPr>
        <w:t>(</w:t>
      </w:r>
      <w:r w:rsidR="00CF37B3" w:rsidRPr="0088566E">
        <w:rPr>
          <w:rFonts w:eastAsia="Calibri" w:cs="Times New Roman"/>
          <w:i/>
          <w:iCs/>
          <w:szCs w:val="24"/>
        </w:rPr>
        <w:t>People v Leon</w:t>
      </w:r>
      <w:r w:rsidR="00CF37B3" w:rsidRPr="0088566E">
        <w:rPr>
          <w:rFonts w:eastAsia="Calibri" w:cs="Times New Roman"/>
          <w:szCs w:val="24"/>
        </w:rPr>
        <w:t>, 10 NY3d 122 [2008]</w:t>
      </w:r>
      <w:r w:rsidR="006F42E1" w:rsidRPr="0088566E">
        <w:rPr>
          <w:rFonts w:eastAsia="Calibri" w:cs="Times New Roman"/>
          <w:szCs w:val="24"/>
        </w:rPr>
        <w:t>)</w:t>
      </w:r>
      <w:r w:rsidR="00CF37B3" w:rsidRPr="0088566E">
        <w:rPr>
          <w:rFonts w:eastAsia="Calibri" w:cs="Times New Roman"/>
          <w:szCs w:val="24"/>
        </w:rPr>
        <w:t xml:space="preserve">, it applies at a trial.  As a result, “fingerprint reports,” comparing unknown latent prints from a crime scene with fingerprints from a known individual, that are introduced in evidence at a trial are testimonial when prepared “solely for prosecutorial purposes and, </w:t>
      </w:r>
      <w:r w:rsidR="00CF37B3" w:rsidRPr="0088566E">
        <w:rPr>
          <w:rFonts w:eastAsia="Times New Roman" w:cs="Times New Roman"/>
          <w:color w:val="000000"/>
          <w:szCs w:val="24"/>
        </w:rPr>
        <w:t>most importantly, because they were accusatory and offered to establish defendant</w:t>
      </w:r>
      <w:r w:rsidR="003B032F">
        <w:rPr>
          <w:rFonts w:eastAsia="Times New Roman" w:cs="Times New Roman"/>
          <w:color w:val="000000"/>
          <w:szCs w:val="24"/>
        </w:rPr>
        <w:t>’</w:t>
      </w:r>
      <w:r w:rsidR="00CF37B3" w:rsidRPr="0088566E">
        <w:rPr>
          <w:rFonts w:eastAsia="Times New Roman" w:cs="Times New Roman"/>
          <w:color w:val="000000"/>
          <w:szCs w:val="24"/>
        </w:rPr>
        <w:t xml:space="preserve">s identity,” </w:t>
      </w:r>
      <w:r w:rsidR="00CF37B3" w:rsidRPr="0088566E">
        <w:rPr>
          <w:rFonts w:eastAsia="Times New Roman" w:cs="Times New Roman"/>
          <w:szCs w:val="24"/>
        </w:rPr>
        <w:t>so</w:t>
      </w:r>
      <w:r w:rsidR="00CF37B3" w:rsidRPr="0088566E">
        <w:rPr>
          <w:rFonts w:eastAsia="Times New Roman" w:cs="Times New Roman"/>
          <w:color w:val="000000"/>
          <w:szCs w:val="24"/>
        </w:rPr>
        <w:t xml:space="preserve"> the defendant is accordingly entitled to confront the author of the report (</w:t>
      </w:r>
      <w:r w:rsidR="00CF37B3" w:rsidRPr="0088566E">
        <w:rPr>
          <w:rFonts w:eastAsia="Times New Roman" w:cs="Times New Roman"/>
          <w:i/>
          <w:iCs/>
          <w:color w:val="000000"/>
          <w:szCs w:val="24"/>
        </w:rPr>
        <w:t>People v Rawlins</w:t>
      </w:r>
      <w:r w:rsidR="00CF37B3" w:rsidRPr="0088566E">
        <w:rPr>
          <w:rFonts w:eastAsia="Times New Roman" w:cs="Times New Roman"/>
          <w:color w:val="000000"/>
          <w:szCs w:val="24"/>
        </w:rPr>
        <w:t xml:space="preserve">, 10 NY3d 136, 157 [2008]). </w:t>
      </w:r>
    </w:p>
    <w:p w14:paraId="70D44A05" w14:textId="77777777" w:rsidR="005014F6" w:rsidRPr="0088566E" w:rsidRDefault="005014F6" w:rsidP="00FA7165">
      <w:pPr>
        <w:ind w:left="0"/>
        <w:rPr>
          <w:rFonts w:cs="Times New Roman"/>
          <w:szCs w:val="24"/>
        </w:rPr>
      </w:pPr>
    </w:p>
    <w:sectPr w:rsidR="005014F6" w:rsidRPr="0088566E" w:rsidSect="00FA7165">
      <w:footerReference w:type="default" r:id="rId6"/>
      <w:pgSz w:w="12240" w:h="15840" w:code="1"/>
      <w:pgMar w:top="1080" w:right="2160" w:bottom="108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2484" w14:textId="77777777" w:rsidR="003B032F" w:rsidRDefault="003B032F" w:rsidP="003B032F">
      <w:pPr>
        <w:spacing w:line="240" w:lineRule="auto"/>
      </w:pPr>
      <w:r>
        <w:separator/>
      </w:r>
    </w:p>
  </w:endnote>
  <w:endnote w:type="continuationSeparator" w:id="0">
    <w:p w14:paraId="67764032" w14:textId="77777777" w:rsidR="003B032F" w:rsidRDefault="003B032F" w:rsidP="003B0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57895"/>
      <w:docPartObj>
        <w:docPartGallery w:val="Page Numbers (Bottom of Page)"/>
        <w:docPartUnique/>
      </w:docPartObj>
    </w:sdtPr>
    <w:sdtEndPr>
      <w:rPr>
        <w:noProof/>
      </w:rPr>
    </w:sdtEndPr>
    <w:sdtContent>
      <w:p w14:paraId="1310EB0A" w14:textId="561D07A3" w:rsidR="003B032F" w:rsidRDefault="003B0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C71B" w14:textId="77777777" w:rsidR="003B032F" w:rsidRDefault="003B032F" w:rsidP="003B032F">
      <w:pPr>
        <w:spacing w:line="240" w:lineRule="auto"/>
      </w:pPr>
      <w:r>
        <w:separator/>
      </w:r>
    </w:p>
  </w:footnote>
  <w:footnote w:type="continuationSeparator" w:id="0">
    <w:p w14:paraId="21814C90" w14:textId="77777777" w:rsidR="003B032F" w:rsidRDefault="003B032F" w:rsidP="003B03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yMDQ0sjQxMjEyMzRU0lEKTi0uzszPAykwrAUAMCm1uSwAAAA="/>
  </w:docVars>
  <w:rsids>
    <w:rsidRoot w:val="00CF37B3"/>
    <w:rsid w:val="00221FAF"/>
    <w:rsid w:val="003B032F"/>
    <w:rsid w:val="0048128E"/>
    <w:rsid w:val="004914F5"/>
    <w:rsid w:val="005014F6"/>
    <w:rsid w:val="00626CC3"/>
    <w:rsid w:val="006A5F9A"/>
    <w:rsid w:val="006F42E1"/>
    <w:rsid w:val="00726FB2"/>
    <w:rsid w:val="008076DD"/>
    <w:rsid w:val="0088566E"/>
    <w:rsid w:val="00B11940"/>
    <w:rsid w:val="00B523CF"/>
    <w:rsid w:val="00C25890"/>
    <w:rsid w:val="00CF2F0D"/>
    <w:rsid w:val="00CF37B3"/>
    <w:rsid w:val="00D31849"/>
    <w:rsid w:val="00E06B90"/>
    <w:rsid w:val="00F46973"/>
    <w:rsid w:val="00FA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38C0"/>
  <w15:chartTrackingRefBased/>
  <w15:docId w15:val="{355195BD-F1D7-4A49-88DE-015114D9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B3"/>
    <w:pPr>
      <w:spacing w:line="276" w:lineRule="auto"/>
      <w:ind w:left="1152" w:right="115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32F"/>
    <w:pPr>
      <w:tabs>
        <w:tab w:val="center" w:pos="4680"/>
        <w:tab w:val="right" w:pos="9360"/>
      </w:tabs>
      <w:spacing w:line="240" w:lineRule="auto"/>
    </w:pPr>
  </w:style>
  <w:style w:type="character" w:customStyle="1" w:styleId="HeaderChar">
    <w:name w:val="Header Char"/>
    <w:basedOn w:val="DefaultParagraphFont"/>
    <w:link w:val="Header"/>
    <w:uiPriority w:val="99"/>
    <w:rsid w:val="003B032F"/>
    <w:rPr>
      <w:rFonts w:ascii="Times New Roman" w:hAnsi="Times New Roman"/>
      <w:sz w:val="24"/>
    </w:rPr>
  </w:style>
  <w:style w:type="paragraph" w:styleId="Footer">
    <w:name w:val="footer"/>
    <w:basedOn w:val="Normal"/>
    <w:link w:val="FooterChar"/>
    <w:uiPriority w:val="99"/>
    <w:unhideWhenUsed/>
    <w:rsid w:val="003B032F"/>
    <w:pPr>
      <w:tabs>
        <w:tab w:val="center" w:pos="4680"/>
        <w:tab w:val="right" w:pos="9360"/>
      </w:tabs>
      <w:spacing w:line="240" w:lineRule="auto"/>
    </w:pPr>
  </w:style>
  <w:style w:type="character" w:customStyle="1" w:styleId="FooterChar">
    <w:name w:val="Footer Char"/>
    <w:basedOn w:val="DefaultParagraphFont"/>
    <w:link w:val="Footer"/>
    <w:uiPriority w:val="99"/>
    <w:rsid w:val="003B032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William Donnino</dc:creator>
  <cp:keywords/>
  <dc:description/>
  <cp:lastModifiedBy>Bill Donnino</cp:lastModifiedBy>
  <cp:revision>13</cp:revision>
  <dcterms:created xsi:type="dcterms:W3CDTF">2021-05-04T15:54:00Z</dcterms:created>
  <dcterms:modified xsi:type="dcterms:W3CDTF">2022-05-06T03:25:00Z</dcterms:modified>
</cp:coreProperties>
</file>